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F58" w:rsidRDefault="00A81F58" w:rsidP="00A81F58">
      <w:pPr>
        <w:spacing w:after="60"/>
        <w:rPr>
          <w:b/>
        </w:rPr>
      </w:pPr>
      <w:r>
        <w:rPr>
          <w:b/>
        </w:rPr>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proofErr w:type="gramStart"/>
      <w:r w:rsidRPr="00F060DB">
        <w:rPr>
          <w:b/>
          <w:szCs w:val="22"/>
        </w:rPr>
        <w:t>acfm</w:t>
      </w:r>
      <w:proofErr w:type="gramEnd"/>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proofErr w:type="gramStart"/>
      <w:r w:rsidRPr="00F060DB">
        <w:rPr>
          <w:b/>
          <w:szCs w:val="22"/>
        </w:rPr>
        <w:t>cfm</w:t>
      </w:r>
      <w:proofErr w:type="gramEnd"/>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proofErr w:type="gramStart"/>
      <w:r w:rsidRPr="00F060DB">
        <w:rPr>
          <w:b/>
          <w:szCs w:val="22"/>
        </w:rPr>
        <w:t>dscfm</w:t>
      </w:r>
      <w:proofErr w:type="gramEnd"/>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r w:rsidRPr="00F060DB">
        <w:rPr>
          <w:b/>
          <w:szCs w:val="22"/>
        </w:rPr>
        <w:t>Fl</w:t>
      </w:r>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proofErr w:type="gramStart"/>
      <w:r w:rsidRPr="00F060DB">
        <w:rPr>
          <w:b/>
          <w:szCs w:val="22"/>
        </w:rPr>
        <w:t>gpm</w:t>
      </w:r>
      <w:proofErr w:type="gramEnd"/>
      <w:r w:rsidRPr="00F060DB">
        <w:rPr>
          <w:szCs w:val="22"/>
        </w:rPr>
        <w:t>:  gallons per minute</w:t>
      </w:r>
    </w:p>
    <w:p w:rsidR="00A81F58" w:rsidRPr="00F060DB" w:rsidRDefault="00A81F58" w:rsidP="00A81F58">
      <w:pPr>
        <w:spacing w:after="60"/>
        <w:rPr>
          <w:szCs w:val="22"/>
        </w:rPr>
      </w:pPr>
      <w:proofErr w:type="gramStart"/>
      <w:r w:rsidRPr="00F060DB">
        <w:rPr>
          <w:b/>
          <w:szCs w:val="22"/>
        </w:rPr>
        <w:t>gr</w:t>
      </w:r>
      <w:proofErr w:type="gramEnd"/>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proofErr w:type="gramStart"/>
      <w:r w:rsidRPr="00F060DB">
        <w:rPr>
          <w:b/>
          <w:snapToGrid w:val="0"/>
          <w:szCs w:val="22"/>
        </w:rPr>
        <w:t>kPa</w:t>
      </w:r>
      <w:proofErr w:type="gramEnd"/>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proofErr w:type="gramStart"/>
      <w:r w:rsidRPr="00F060DB">
        <w:rPr>
          <w:b/>
          <w:szCs w:val="22"/>
        </w:rPr>
        <w:t>lb</w:t>
      </w:r>
      <w:proofErr w:type="gramEnd"/>
      <w:r w:rsidRPr="00F060DB">
        <w:rPr>
          <w:szCs w:val="22"/>
        </w:rPr>
        <w:t>:  pound</w:t>
      </w:r>
    </w:p>
    <w:p w:rsidR="00A81F58" w:rsidRPr="00F060DB" w:rsidRDefault="00A81F58" w:rsidP="00A81F58">
      <w:pPr>
        <w:spacing w:after="60"/>
        <w:rPr>
          <w:szCs w:val="22"/>
        </w:rPr>
      </w:pPr>
      <w:proofErr w:type="gramStart"/>
      <w:r w:rsidRPr="00C331A0">
        <w:rPr>
          <w:b/>
          <w:szCs w:val="22"/>
        </w:rPr>
        <w:lastRenderedPageBreak/>
        <w:t>lbs/hr</w:t>
      </w:r>
      <w:proofErr w:type="gramEnd"/>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proofErr w:type="gramStart"/>
      <w:r>
        <w:rPr>
          <w:b/>
          <w:szCs w:val="22"/>
        </w:rPr>
        <w:t>mm</w:t>
      </w:r>
      <w:proofErr w:type="gramEnd"/>
      <w:r>
        <w:rPr>
          <w:b/>
          <w:szCs w:val="22"/>
        </w:rPr>
        <w:t xml:space="preserve">:  </w:t>
      </w:r>
      <w:r w:rsidRPr="00C331A0">
        <w:rPr>
          <w:szCs w:val="22"/>
        </w:rPr>
        <w:t>millimeter</w:t>
      </w:r>
    </w:p>
    <w:p w:rsidR="00A81F58" w:rsidRPr="00F060DB" w:rsidRDefault="00A81F58" w:rsidP="00A81F58">
      <w:pPr>
        <w:spacing w:after="60"/>
        <w:rPr>
          <w:szCs w:val="22"/>
        </w:rPr>
      </w:pPr>
      <w:r w:rsidRPr="00F060DB">
        <w:rPr>
          <w:b/>
          <w:szCs w:val="22"/>
        </w:rPr>
        <w:t>MMBtu</w:t>
      </w:r>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r w:rsidRPr="00F060DB">
        <w:rPr>
          <w:b/>
          <w:szCs w:val="22"/>
        </w:rPr>
        <w:t>Pb</w:t>
      </w:r>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A81F58">
      <w:pPr>
        <w:spacing w:after="60"/>
        <w:rPr>
          <w:szCs w:val="22"/>
        </w:rPr>
      </w:pPr>
      <w:proofErr w:type="gramStart"/>
      <w:r w:rsidRPr="00F060DB">
        <w:rPr>
          <w:b/>
          <w:szCs w:val="22"/>
        </w:rPr>
        <w:t>psi</w:t>
      </w:r>
      <w:proofErr w:type="gramEnd"/>
      <w:r w:rsidRPr="00F060DB">
        <w:rPr>
          <w:szCs w:val="22"/>
        </w:rPr>
        <w:t>:  pounds per square inch</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proofErr w:type="gramStart"/>
      <w:r w:rsidRPr="00F060DB">
        <w:rPr>
          <w:b/>
          <w:szCs w:val="22"/>
        </w:rPr>
        <w:t>scf</w:t>
      </w:r>
      <w:proofErr w:type="gramEnd"/>
      <w:r w:rsidRPr="00F060DB">
        <w:rPr>
          <w:szCs w:val="22"/>
        </w:rPr>
        <w:t>:  standard cubic feet</w:t>
      </w:r>
    </w:p>
    <w:p w:rsidR="00A81F58" w:rsidRPr="00F060DB" w:rsidRDefault="00A81F58" w:rsidP="00A81F58">
      <w:pPr>
        <w:spacing w:after="60"/>
        <w:rPr>
          <w:szCs w:val="22"/>
        </w:rPr>
      </w:pPr>
      <w:proofErr w:type="gramStart"/>
      <w:r w:rsidRPr="00F060DB">
        <w:rPr>
          <w:b/>
          <w:szCs w:val="22"/>
        </w:rPr>
        <w:t>scfm</w:t>
      </w:r>
      <w:proofErr w:type="gramEnd"/>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szCs w:val="22"/>
        </w:rPr>
      </w:pPr>
      <w:r w:rsidRPr="00F060DB">
        <w:rPr>
          <w:b/>
          <w:szCs w:val="22"/>
        </w:rPr>
        <w:t>TPY</w:t>
      </w:r>
      <w:r w:rsidRPr="00F060DB">
        <w:rPr>
          <w:szCs w:val="22"/>
        </w:rPr>
        <w:t>:  tons per year</w:t>
      </w:r>
    </w:p>
    <w:p w:rsidR="00724A0A" w:rsidRDefault="00724A0A" w:rsidP="00A81F58">
      <w:pPr>
        <w:spacing w:after="60"/>
        <w:rPr>
          <w:b/>
          <w:szCs w:val="22"/>
        </w:rPr>
      </w:pPr>
      <w:r w:rsidRPr="00724A0A">
        <w:rPr>
          <w:b/>
          <w:szCs w:val="22"/>
        </w:rPr>
        <w:t>ULSD</w:t>
      </w:r>
      <w:r>
        <w:rPr>
          <w:szCs w:val="22"/>
        </w:rPr>
        <w:t>:  Ultra Low Sulfur Diesel</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proofErr w:type="gramStart"/>
      <w:r w:rsidRPr="00927037">
        <w:rPr>
          <w:b/>
        </w:rPr>
        <w:t>x</w:t>
      </w:r>
      <w:proofErr w:type="gramEnd"/>
      <w:r w:rsidRPr="00927037">
        <w:rPr>
          <w:b/>
        </w:rPr>
        <w:t>:</w:t>
      </w:r>
      <w:r>
        <w:t xml:space="preserve">   </w:t>
      </w:r>
      <w:r>
        <w:tab/>
        <w:t xml:space="preserve">  By or times</w:t>
      </w:r>
    </w:p>
    <w:p w:rsidR="00980694" w:rsidRDefault="00980694" w:rsidP="00980694">
      <w:pPr>
        <w:rPr>
          <w:b/>
        </w:rPr>
        <w:sectPr w:rsidR="00980694" w:rsidSect="006333C0">
          <w:headerReference w:type="even" r:id="rId8"/>
          <w:headerReference w:type="default" r:id="rId9"/>
          <w:footerReference w:type="default" r:id="rId10"/>
          <w:headerReference w:type="first" r:id="rId11"/>
          <w:pgSz w:w="12240" w:h="15840" w:code="1"/>
          <w:pgMar w:top="900" w:right="1008" w:bottom="1008" w:left="1008" w:header="540" w:footer="288" w:gutter="0"/>
          <w:paperSrc w:first="264" w:other="264"/>
          <w:pgNumType w:start="1"/>
          <w:cols w:num="2" w:space="720" w:equalWidth="0">
            <w:col w:w="4752" w:space="720"/>
            <w:col w:w="4752"/>
          </w:cols>
          <w:docGrid w:linePitch="299"/>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proofErr w:type="gramStart"/>
      <w:r>
        <w:t>0221  =</w:t>
      </w:r>
      <w:proofErr w:type="gramEnd"/>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9A3F76" w:rsidRDefault="009A3F76" w:rsidP="00980694">
      <w:pPr>
        <w:ind w:left="1008"/>
        <w:sectPr w:rsidR="009A3F76" w:rsidSect="001D42B7">
          <w:pgSz w:w="12240" w:h="15840" w:code="1"/>
          <w:pgMar w:top="1008" w:right="1008" w:bottom="1008" w:left="1008" w:header="720" w:footer="576" w:gutter="0"/>
          <w:paperSrc w:first="264" w:other="264"/>
          <w:cols w:space="720"/>
          <w:docGrid w:linePitch="299"/>
        </w:sectPr>
      </w:pPr>
    </w:p>
    <w:p w:rsidR="009A3F76" w:rsidRDefault="009A3F76" w:rsidP="009A3F76">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9A3F76" w:rsidRDefault="009A3F76" w:rsidP="009A3F76">
      <w:pPr>
        <w:tabs>
          <w:tab w:val="left" w:pos="360"/>
          <w:tab w:val="left" w:pos="720"/>
          <w:tab w:val="left" w:pos="1080"/>
          <w:tab w:val="left" w:pos="1440"/>
          <w:tab w:val="left" w:pos="1800"/>
          <w:tab w:val="left" w:pos="2160"/>
        </w:tabs>
      </w:pPr>
    </w:p>
    <w:p w:rsidR="009A3F76" w:rsidRDefault="009A3F76" w:rsidP="009A3F76">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9A3F76" w:rsidRDefault="009A3F76" w:rsidP="009A3F76">
      <w:pPr>
        <w:tabs>
          <w:tab w:val="left" w:pos="360"/>
          <w:tab w:val="left" w:pos="720"/>
          <w:tab w:val="left" w:pos="1080"/>
          <w:tab w:val="left" w:pos="1440"/>
          <w:tab w:val="left" w:pos="1800"/>
          <w:tab w:val="left" w:pos="2160"/>
        </w:tabs>
      </w:pPr>
    </w:p>
    <w:p w:rsidR="009A3F76" w:rsidRDefault="009A3F76" w:rsidP="009A3F76">
      <w:r>
        <w:rPr>
          <w:u w:val="single"/>
        </w:rPr>
        <w:t>Brief Description of Emissions Units and/or Activities</w:t>
      </w:r>
    </w:p>
    <w:p w:rsidR="009A3F76" w:rsidRDefault="009A3F76" w:rsidP="009A3F76"/>
    <w:p w:rsidR="009A3F76" w:rsidRDefault="009A3F76" w:rsidP="009A3F76">
      <w:pPr>
        <w:numPr>
          <w:ilvl w:val="0"/>
          <w:numId w:val="9"/>
        </w:numPr>
        <w:tabs>
          <w:tab w:val="left" w:pos="720"/>
          <w:tab w:val="left" w:pos="1080"/>
          <w:tab w:val="left" w:pos="1440"/>
          <w:tab w:val="left" w:pos="1800"/>
          <w:tab w:val="left" w:pos="2160"/>
        </w:tabs>
      </w:pPr>
      <w:r>
        <w:t xml:space="preserve"> </w:t>
      </w:r>
      <w:r w:rsidR="008E6697">
        <w:t>Fugitive</w:t>
      </w:r>
      <w:r w:rsidR="00DC3007">
        <w:t xml:space="preserve"> VOC emissions from leachate evaporation ponds</w:t>
      </w:r>
    </w:p>
    <w:p w:rsidR="009A3F76" w:rsidRDefault="009A3F76" w:rsidP="009A3F76">
      <w:pPr>
        <w:numPr>
          <w:ilvl w:val="0"/>
          <w:numId w:val="9"/>
        </w:numPr>
        <w:tabs>
          <w:tab w:val="left" w:pos="720"/>
          <w:tab w:val="left" w:pos="1080"/>
          <w:tab w:val="left" w:pos="1440"/>
          <w:tab w:val="left" w:pos="1800"/>
          <w:tab w:val="left" w:pos="2160"/>
        </w:tabs>
      </w:pPr>
      <w:r>
        <w:t xml:space="preserve"> </w:t>
      </w:r>
      <w:r w:rsidR="00DC3007">
        <w:t xml:space="preserve">Fugitive VOC </w:t>
      </w:r>
      <w:r w:rsidR="008E6697">
        <w:t>emissions</w:t>
      </w:r>
      <w:r w:rsidR="00DC3007">
        <w:t xml:space="preserve"> from stationary diesel storage tank </w:t>
      </w:r>
    </w:p>
    <w:p w:rsidR="008E6697" w:rsidRPr="00480B87" w:rsidRDefault="00480B87" w:rsidP="009A3F76">
      <w:pPr>
        <w:numPr>
          <w:ilvl w:val="0"/>
          <w:numId w:val="9"/>
        </w:numPr>
        <w:tabs>
          <w:tab w:val="left" w:pos="720"/>
          <w:tab w:val="left" w:pos="1080"/>
          <w:tab w:val="left" w:pos="1440"/>
          <w:tab w:val="left" w:pos="1800"/>
          <w:tab w:val="left" w:pos="2160"/>
        </w:tabs>
        <w:rPr>
          <w:highlight w:val="yellow"/>
          <w:u w:val="double"/>
        </w:rPr>
      </w:pPr>
      <w:r>
        <w:rPr>
          <w:highlight w:val="yellow"/>
          <w:u w:val="double"/>
        </w:rPr>
        <w:t xml:space="preserve"> </w:t>
      </w:r>
      <w:r w:rsidR="008E6697" w:rsidRPr="00480B87">
        <w:rPr>
          <w:highlight w:val="yellow"/>
          <w:u w:val="double"/>
        </w:rPr>
        <w:t>Portable diesel generator</w:t>
      </w:r>
    </w:p>
    <w:p w:rsidR="00980694" w:rsidRDefault="00980694" w:rsidP="00DC3007"/>
    <w:p w:rsidR="007C31C6" w:rsidRDefault="007C31C6" w:rsidP="00980694">
      <w:pPr>
        <w:sectPr w:rsidR="007C31C6" w:rsidSect="00980694">
          <w:headerReference w:type="even" r:id="rId12"/>
          <w:headerReference w:type="default" r:id="rId13"/>
          <w:footerReference w:type="default" r:id="rId14"/>
          <w:headerReference w:type="first" r:id="rId15"/>
          <w:pgSz w:w="12240" w:h="15840" w:code="1"/>
          <w:pgMar w:top="1440" w:right="1080" w:bottom="1440" w:left="1080" w:header="720" w:footer="576" w:gutter="0"/>
          <w:paperSrc w:first="264" w:other="264"/>
          <w:cols w:space="720"/>
          <w:docGrid w:linePitch="299"/>
        </w:sectPr>
      </w:pPr>
    </w:p>
    <w:p w:rsidR="0000182A" w:rsidRDefault="0000182A" w:rsidP="0000182A">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00182A" w:rsidRDefault="0000182A" w:rsidP="0000182A">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Related Condition(s)</w:t>
            </w: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tc>
      </w:tr>
      <w:tr w:rsidR="0000182A" w:rsidRPr="000551B3" w:rsidTr="00C4103B">
        <w:trPr>
          <w:trHeight w:val="278"/>
        </w:trPr>
        <w:tc>
          <w:tcPr>
            <w:tcW w:w="360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00182A" w:rsidRPr="000551B3" w:rsidTr="00C4103B">
        <w:trPr>
          <w:trHeight w:val="278"/>
        </w:trPr>
        <w:tc>
          <w:tcPr>
            <w:tcW w:w="3600" w:type="dxa"/>
          </w:tcPr>
          <w:p w:rsidR="0000182A" w:rsidRPr="00597EC6" w:rsidRDefault="0000182A" w:rsidP="00C4103B">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00182A" w:rsidRPr="00597EC6" w:rsidRDefault="0000182A" w:rsidP="00C4103B">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597EC6">
              <w:t>RR3</w:t>
            </w:r>
          </w:p>
        </w:tc>
      </w:tr>
      <w:tr w:rsidR="0000182A" w:rsidRPr="000551B3" w:rsidTr="00C4103B">
        <w:trPr>
          <w:trHeight w:val="233"/>
        </w:trPr>
        <w:tc>
          <w:tcPr>
            <w:tcW w:w="360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Every 6 months</w:t>
            </w:r>
          </w:p>
        </w:tc>
        <w:tc>
          <w:tcPr>
            <w:tcW w:w="144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RR4</w:t>
            </w:r>
          </w:p>
        </w:tc>
      </w:tr>
      <w:tr w:rsidR="0000182A" w:rsidRPr="000551B3" w:rsidTr="00C4103B">
        <w:trPr>
          <w:trHeight w:val="233"/>
        </w:trPr>
        <w:tc>
          <w:tcPr>
            <w:tcW w:w="360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rsidRPr="00326676">
              <w:t>RR</w:t>
            </w:r>
            <w:r>
              <w:t>5</w:t>
            </w:r>
          </w:p>
        </w:tc>
      </w:tr>
      <w:tr w:rsidR="0000182A" w:rsidRPr="00A34EB8" w:rsidTr="00C4103B">
        <w:trPr>
          <w:trHeight w:val="197"/>
        </w:trPr>
        <w:tc>
          <w:tcPr>
            <w:tcW w:w="3600" w:type="dxa"/>
          </w:tcPr>
          <w:p w:rsidR="0000182A" w:rsidRPr="00A34EB8" w:rsidRDefault="0000182A" w:rsidP="00C4103B">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00182A" w:rsidRPr="00A34EB8" w:rsidRDefault="0000182A" w:rsidP="00C4103B">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00182A" w:rsidRPr="00A34EB8" w:rsidRDefault="0000182A" w:rsidP="00C4103B">
            <w:pPr>
              <w:tabs>
                <w:tab w:val="left" w:pos="360"/>
                <w:tab w:val="left" w:pos="720"/>
                <w:tab w:val="left" w:pos="1080"/>
                <w:tab w:val="left" w:pos="1440"/>
                <w:tab w:val="left" w:pos="1800"/>
                <w:tab w:val="left" w:pos="2160"/>
              </w:tabs>
              <w:spacing w:line="-240" w:lineRule="auto"/>
            </w:pPr>
            <w:r w:rsidRPr="008605F5">
              <w:t>RR6</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00182A" w:rsidRPr="000551B3" w:rsidRDefault="0000182A" w:rsidP="00C4103B">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00182A" w:rsidRPr="000551B3" w:rsidRDefault="0000182A" w:rsidP="00C4103B">
            <w:pPr>
              <w:pStyle w:val="BodyText"/>
              <w:tabs>
                <w:tab w:val="left" w:pos="0"/>
                <w:tab w:val="left" w:pos="1080"/>
              </w:tabs>
              <w:rPr>
                <w:szCs w:val="16"/>
              </w:rPr>
            </w:pPr>
            <w:r w:rsidRPr="000551B3">
              <w:rPr>
                <w:szCs w:val="16"/>
              </w:rPr>
              <w:t>Within 60 days after submittal of a written agreement for transfer of responsibility, or</w:t>
            </w:r>
          </w:p>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rsidRPr="00446FC6">
              <w:t>RR</w:t>
            </w:r>
            <w:r>
              <w:t>7</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00182A" w:rsidRPr="000551B3" w:rsidRDefault="0000182A" w:rsidP="00C4103B">
            <w:pPr>
              <w:pStyle w:val="BodyText"/>
              <w:tabs>
                <w:tab w:val="left" w:pos="0"/>
                <w:tab w:val="left" w:pos="1080"/>
              </w:tabs>
              <w:rPr>
                <w:szCs w:val="16"/>
              </w:rPr>
            </w:pPr>
            <w:r w:rsidRPr="000551B3">
              <w:rPr>
                <w:szCs w:val="16"/>
              </w:rPr>
              <w:t>As needed</w:t>
            </w: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t>RR8</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00182A" w:rsidRPr="004B32D0" w:rsidRDefault="0000182A" w:rsidP="00C4103B">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t>RR9</w:t>
            </w:r>
          </w:p>
        </w:tc>
      </w:tr>
      <w:tr w:rsidR="0000182A" w:rsidRPr="000551B3" w:rsidTr="00C4103B">
        <w:tc>
          <w:tcPr>
            <w:tcW w:w="3600" w:type="dxa"/>
          </w:tcPr>
          <w:p w:rsidR="0000182A" w:rsidRDefault="0000182A" w:rsidP="00C4103B">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00182A" w:rsidRDefault="0000182A" w:rsidP="00C4103B">
            <w:pPr>
              <w:pStyle w:val="BodyText"/>
              <w:tabs>
                <w:tab w:val="left" w:pos="0"/>
                <w:tab w:val="left" w:pos="1080"/>
              </w:tabs>
            </w:pPr>
            <w:r>
              <w:t>225 days prior to the expiration date of permit</w:t>
            </w:r>
          </w:p>
        </w:tc>
        <w:tc>
          <w:tcPr>
            <w:tcW w:w="1440" w:type="dxa"/>
          </w:tcPr>
          <w:p w:rsidR="0000182A" w:rsidRDefault="0000182A" w:rsidP="00C4103B">
            <w:pPr>
              <w:tabs>
                <w:tab w:val="left" w:pos="360"/>
                <w:tab w:val="left" w:pos="720"/>
                <w:tab w:val="left" w:pos="1080"/>
                <w:tab w:val="left" w:pos="1440"/>
                <w:tab w:val="left" w:pos="1800"/>
                <w:tab w:val="left" w:pos="2160"/>
              </w:tabs>
              <w:spacing w:line="-240" w:lineRule="auto"/>
            </w:pPr>
            <w:r>
              <w:t>TV17</w:t>
            </w:r>
          </w:p>
        </w:tc>
      </w:tr>
      <w:tr w:rsidR="0000182A" w:rsidRPr="000551B3" w:rsidTr="00C4103B">
        <w:tc>
          <w:tcPr>
            <w:tcW w:w="3600" w:type="dxa"/>
          </w:tcPr>
          <w:p w:rsidR="0000182A" w:rsidRDefault="0000182A" w:rsidP="00C4103B">
            <w:pPr>
              <w:tabs>
                <w:tab w:val="left" w:pos="360"/>
                <w:tab w:val="left" w:pos="720"/>
                <w:tab w:val="left" w:pos="1080"/>
                <w:tab w:val="left" w:pos="1440"/>
                <w:tab w:val="left" w:pos="1800"/>
                <w:tab w:val="left" w:pos="2160"/>
              </w:tabs>
              <w:spacing w:line="-240" w:lineRule="auto"/>
            </w:pPr>
            <w:r>
              <w:t>Test Reports</w:t>
            </w:r>
          </w:p>
        </w:tc>
        <w:tc>
          <w:tcPr>
            <w:tcW w:w="4680" w:type="dxa"/>
          </w:tcPr>
          <w:p w:rsidR="0000182A" w:rsidRDefault="0000182A" w:rsidP="00C4103B">
            <w:pPr>
              <w:pStyle w:val="BodyText"/>
              <w:tabs>
                <w:tab w:val="left" w:pos="0"/>
                <w:tab w:val="left" w:pos="1080"/>
              </w:tabs>
            </w:pPr>
            <w:r>
              <w:t>Maximum 45 days following compliance tests</w:t>
            </w:r>
          </w:p>
        </w:tc>
        <w:tc>
          <w:tcPr>
            <w:tcW w:w="1440" w:type="dxa"/>
          </w:tcPr>
          <w:p w:rsidR="0000182A" w:rsidRDefault="0000182A" w:rsidP="00C4103B">
            <w:pPr>
              <w:tabs>
                <w:tab w:val="left" w:pos="360"/>
                <w:tab w:val="left" w:pos="720"/>
                <w:tab w:val="left" w:pos="1080"/>
                <w:tab w:val="left" w:pos="1440"/>
                <w:tab w:val="left" w:pos="1800"/>
                <w:tab w:val="left" w:pos="2160"/>
              </w:tabs>
              <w:spacing w:line="-240" w:lineRule="auto"/>
            </w:pPr>
            <w:r>
              <w:t>TR8</w:t>
            </w:r>
          </w:p>
        </w:tc>
      </w:tr>
    </w:tbl>
    <w:p w:rsidR="0000182A" w:rsidRPr="002735D5" w:rsidRDefault="0000182A" w:rsidP="0000182A">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00182A" w:rsidRPr="00D00B1B" w:rsidRDefault="0000182A" w:rsidP="0000182A">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00182A" w:rsidRDefault="0000182A" w:rsidP="0000182A">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00182A" w:rsidRPr="00D00B1B" w:rsidRDefault="0000182A" w:rsidP="0000182A">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00182A" w:rsidRPr="00D00B1B" w:rsidRDefault="0000182A" w:rsidP="0000182A">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00182A" w:rsidRPr="00D00B1B" w:rsidRDefault="0000182A" w:rsidP="0000182A">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00182A" w:rsidRPr="00D00B1B" w:rsidRDefault="0000182A" w:rsidP="0000182A">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00182A" w:rsidRDefault="0000182A" w:rsidP="0000182A">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00182A" w:rsidRPr="00814FD7" w:rsidRDefault="0000182A" w:rsidP="0000182A">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00182A" w:rsidRDefault="0000182A" w:rsidP="0000182A">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00182A" w:rsidRPr="00814FD7" w:rsidRDefault="0000182A" w:rsidP="0000182A">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00182A" w:rsidRDefault="0000182A" w:rsidP="0000182A">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[Rules 62-210.370(2) &amp; (3), 62-210.900 and 62-213.440(3</w:t>
      </w:r>
      <w:proofErr w:type="gramStart"/>
      <w:r>
        <w:t>)(</w:t>
      </w:r>
      <w:proofErr w:type="gramEnd"/>
      <w:r>
        <w:t xml:space="preserve">a)2., F.A.C.]  </w:t>
      </w:r>
    </w:p>
    <w:p w:rsidR="0000182A" w:rsidRPr="00C708CE" w:rsidRDefault="0000182A" w:rsidP="0000182A">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00182A" w:rsidRPr="00C708CE" w:rsidRDefault="0000182A" w:rsidP="0000182A">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00182A" w:rsidRPr="00C708CE" w:rsidRDefault="0000182A" w:rsidP="0000182A">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00182A" w:rsidRPr="0074211A" w:rsidRDefault="0000182A" w:rsidP="0000182A">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00182A" w:rsidRPr="0078478E" w:rsidRDefault="0000182A" w:rsidP="0000182A">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00182A" w:rsidRPr="0078478E" w:rsidRDefault="0000182A" w:rsidP="0000182A">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00182A" w:rsidRPr="0078478E" w:rsidRDefault="0000182A" w:rsidP="0000182A">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00182A" w:rsidRPr="0078478E" w:rsidRDefault="0000182A" w:rsidP="0000182A">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00182A" w:rsidRPr="0078478E" w:rsidRDefault="0000182A" w:rsidP="0000182A">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00182A" w:rsidRPr="0078478E" w:rsidRDefault="0000182A" w:rsidP="0000182A">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00182A" w:rsidRPr="0078478E" w:rsidRDefault="0000182A" w:rsidP="0000182A">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00182A" w:rsidRPr="00D456FE" w:rsidRDefault="0000182A" w:rsidP="0000182A">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00182A" w:rsidRPr="00D456FE" w:rsidRDefault="0000182A" w:rsidP="0000182A">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00182A" w:rsidRPr="00D456FE" w:rsidRDefault="0000182A" w:rsidP="0000182A">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00182A" w:rsidRPr="00D456FE" w:rsidRDefault="0000182A" w:rsidP="0000182A">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00182A" w:rsidRPr="00D456FE" w:rsidRDefault="0000182A" w:rsidP="0000182A">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00182A" w:rsidRPr="00D456FE" w:rsidRDefault="0000182A" w:rsidP="0000182A">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00182A" w:rsidRPr="00D456FE" w:rsidRDefault="0000182A" w:rsidP="0000182A">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00182A" w:rsidRPr="00D456FE" w:rsidRDefault="0000182A" w:rsidP="0000182A">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00182A" w:rsidRPr="00D456FE" w:rsidRDefault="0000182A" w:rsidP="0000182A">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00182A" w:rsidRPr="00D456FE" w:rsidRDefault="0000182A" w:rsidP="0000182A">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00182A" w:rsidRPr="00D456FE" w:rsidRDefault="0000182A" w:rsidP="0000182A">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00182A" w:rsidRPr="00D456FE" w:rsidRDefault="0000182A" w:rsidP="0000182A">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00182A" w:rsidRDefault="0000182A" w:rsidP="0000182A">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00182A" w:rsidRPr="00E876EC" w:rsidRDefault="0000182A" w:rsidP="0000182A">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00182A" w:rsidRPr="00E876EC" w:rsidRDefault="0000182A" w:rsidP="0000182A">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00182A" w:rsidRPr="00E876EC" w:rsidRDefault="0000182A" w:rsidP="0000182A">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00182A" w:rsidRDefault="0000182A" w:rsidP="0000182A">
      <w:pPr>
        <w:tabs>
          <w:tab w:val="left" w:pos="360"/>
          <w:tab w:val="left" w:pos="720"/>
          <w:tab w:val="left" w:pos="1080"/>
          <w:tab w:val="left" w:pos="1440"/>
          <w:tab w:val="left" w:pos="1800"/>
          <w:tab w:val="left" w:pos="2160"/>
        </w:tabs>
        <w:spacing w:after="120" w:line="-240" w:lineRule="auto"/>
      </w:pPr>
      <w:r>
        <w:tab/>
      </w:r>
      <w:r w:rsidRPr="00E876EC">
        <w:t>[Rule 62-210.300(5), F.A.C.]</w:t>
      </w:r>
    </w:p>
    <w:p w:rsidR="0000182A" w:rsidRDefault="0000182A" w:rsidP="0000182A">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00182A" w:rsidRDefault="0000182A" w:rsidP="0000182A">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00182A" w:rsidRPr="000A5EBE" w:rsidRDefault="0000182A" w:rsidP="0000182A">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00182A" w:rsidRPr="000A5EBE" w:rsidRDefault="0000182A" w:rsidP="0000182A">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00182A" w:rsidRDefault="0000182A" w:rsidP="0000182A">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00182A" w:rsidRPr="00E876EC" w:rsidRDefault="0000182A" w:rsidP="0000182A">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00182A" w:rsidRPr="00887B21" w:rsidRDefault="0000182A" w:rsidP="0000182A">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16" w:history="1">
        <w:r w:rsidRPr="00406217">
          <w:rPr>
            <w:rStyle w:val="Hyperlink"/>
          </w:rPr>
          <w:t>http://www.dep.state.fl.us/air/rules/forms.htm</w:t>
        </w:r>
      </w:hyperlink>
      <w:r w:rsidRPr="002735D5">
        <w:t>.</w:t>
      </w:r>
      <w:r>
        <w:t xml:space="preserve"> </w:t>
      </w:r>
    </w:p>
    <w:p w:rsidR="0000182A" w:rsidRDefault="0000182A" w:rsidP="0000182A">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00182A" w:rsidRPr="00887B21" w:rsidRDefault="0000182A" w:rsidP="0000182A">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00182A" w:rsidRPr="00887B21" w:rsidRDefault="0000182A" w:rsidP="0000182A">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00182A" w:rsidRDefault="0000182A" w:rsidP="0000182A">
      <w:pPr>
        <w:tabs>
          <w:tab w:val="left" w:pos="360"/>
        </w:tabs>
        <w:spacing w:after="120"/>
      </w:pPr>
      <w:r>
        <w:tab/>
        <w:t xml:space="preserve">[Rule 62-213.900, F.A.C.: </w:t>
      </w:r>
      <w:r w:rsidRPr="00887B21">
        <w:t xml:space="preserve"> Forms (1), (7) and (8)]</w:t>
      </w:r>
    </w:p>
    <w:p w:rsidR="00980694" w:rsidRDefault="00980694" w:rsidP="000B6E29">
      <w:pPr>
        <w:jc w:val="both"/>
      </w:pPr>
    </w:p>
    <w:p w:rsidR="00980694" w:rsidRDefault="00980694">
      <w:pPr>
        <w:sectPr w:rsidR="00980694" w:rsidSect="0065658A">
          <w:headerReference w:type="even" r:id="rId17"/>
          <w:headerReference w:type="default" r:id="rId18"/>
          <w:footerReference w:type="default" r:id="rId19"/>
          <w:headerReference w:type="first" r:id="rId20"/>
          <w:pgSz w:w="12240" w:h="15840" w:code="1"/>
          <w:pgMar w:top="1440" w:right="1080" w:bottom="1440" w:left="1080" w:header="720" w:footer="576" w:gutter="0"/>
          <w:paperSrc w:first="264" w:other="264"/>
          <w:pgNumType w:start="1"/>
          <w:cols w:space="720"/>
          <w:docGrid w:linePitch="299"/>
        </w:sectPr>
      </w:pPr>
    </w:p>
    <w:p w:rsidR="0001387B" w:rsidRDefault="0001387B" w:rsidP="00C71874">
      <w:pPr>
        <w:pStyle w:val="BodyText"/>
        <w:widowControl w:val="0"/>
        <w:tabs>
          <w:tab w:val="left" w:pos="360"/>
          <w:tab w:val="left" w:pos="720"/>
          <w:tab w:val="left" w:pos="1080"/>
          <w:tab w:val="left" w:pos="1440"/>
          <w:tab w:val="left" w:pos="1800"/>
        </w:tabs>
        <w:jc w:val="both"/>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C71874">
      <w:pPr>
        <w:widowControl w:val="0"/>
        <w:tabs>
          <w:tab w:val="left" w:pos="360"/>
          <w:tab w:val="left" w:pos="720"/>
          <w:tab w:val="left" w:pos="1080"/>
          <w:tab w:val="left" w:pos="1440"/>
          <w:tab w:val="left" w:pos="1800"/>
        </w:tabs>
        <w:jc w:val="both"/>
      </w:pPr>
      <w:r w:rsidRPr="001B16D3">
        <w:rPr>
          <w:b/>
        </w:rPr>
        <w:t>TR4.</w:t>
      </w:r>
      <w:r>
        <w:t xml:space="preserve"> </w:t>
      </w:r>
      <w:r>
        <w:tab/>
      </w:r>
      <w:r w:rsidRPr="000777F6">
        <w:rPr>
          <w:u w:val="single"/>
        </w:rPr>
        <w:t>Applicable Test Procedures</w:t>
      </w:r>
      <w:r>
        <w:t>.</w:t>
      </w:r>
    </w:p>
    <w:p w:rsidR="0001387B" w:rsidRPr="000777F6" w:rsidRDefault="0001387B" w:rsidP="00C71874">
      <w:pPr>
        <w:widowControl w:val="0"/>
        <w:tabs>
          <w:tab w:val="left" w:pos="360"/>
          <w:tab w:val="left" w:pos="720"/>
          <w:tab w:val="left" w:pos="1080"/>
          <w:tab w:val="left" w:pos="1440"/>
          <w:tab w:val="left" w:pos="1800"/>
        </w:tabs>
        <w:jc w:val="both"/>
      </w:pPr>
      <w:r>
        <w:tab/>
        <w:t>a.</w:t>
      </w:r>
      <w:r>
        <w:tab/>
      </w:r>
      <w:r w:rsidRPr="005E244D">
        <w:rPr>
          <w:i/>
        </w:rPr>
        <w:t>Required Sampling Time</w:t>
      </w:r>
      <w:r w:rsidRPr="000777F6">
        <w:t>.</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080" w:hanging="1080"/>
        <w:jc w:val="both"/>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080" w:hanging="1080"/>
        <w:jc w:val="both"/>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440" w:hanging="1440"/>
        <w:jc w:val="both"/>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440" w:hanging="360"/>
        <w:jc w:val="both"/>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C71874">
      <w:pPr>
        <w:widowControl w:val="0"/>
        <w:tabs>
          <w:tab w:val="left" w:pos="360"/>
          <w:tab w:val="left" w:pos="720"/>
          <w:tab w:val="left" w:pos="1080"/>
          <w:tab w:val="left" w:pos="1440"/>
          <w:tab w:val="left" w:pos="1800"/>
        </w:tabs>
        <w:autoSpaceDE w:val="0"/>
        <w:autoSpaceDN w:val="0"/>
        <w:adjustRightInd w:val="0"/>
        <w:ind w:left="1440" w:hanging="360"/>
        <w:jc w:val="both"/>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C71874">
      <w:pPr>
        <w:widowControl w:val="0"/>
        <w:tabs>
          <w:tab w:val="left" w:pos="360"/>
          <w:tab w:val="left" w:pos="720"/>
          <w:tab w:val="left" w:pos="1080"/>
          <w:tab w:val="left" w:pos="1440"/>
          <w:tab w:val="left" w:pos="1800"/>
        </w:tabs>
        <w:ind w:left="720" w:hanging="720"/>
        <w:jc w:val="both"/>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C71874">
      <w:pPr>
        <w:tabs>
          <w:tab w:val="left" w:pos="360"/>
          <w:tab w:val="left" w:pos="720"/>
          <w:tab w:val="left" w:pos="1080"/>
          <w:tab w:val="left" w:pos="1440"/>
        </w:tabs>
        <w:autoSpaceDE w:val="0"/>
        <w:autoSpaceDN w:val="0"/>
        <w:adjustRightInd w:val="0"/>
        <w:ind w:left="720" w:hanging="720"/>
        <w:jc w:val="both"/>
        <w:rPr>
          <w:rFonts w:ascii="TimesNewRomanPSMT" w:hAnsi="TimesNewRomanPSMT" w:cs="TimesNewRomanPSMT"/>
          <w:szCs w:val="22"/>
        </w:rPr>
      </w:pPr>
      <w:r>
        <w:lastRenderedPageBreak/>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C71874">
      <w:pPr>
        <w:widowControl w:val="0"/>
        <w:tabs>
          <w:tab w:val="left" w:pos="360"/>
          <w:tab w:val="left" w:pos="720"/>
          <w:tab w:val="left" w:pos="1080"/>
          <w:tab w:val="left" w:pos="1440"/>
          <w:tab w:val="left" w:pos="1800"/>
        </w:tabs>
        <w:spacing w:after="120"/>
        <w:ind w:left="720" w:hanging="720"/>
        <w:jc w:val="both"/>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96066D">
      <w:pPr>
        <w:widowControl w:val="0"/>
        <w:tabs>
          <w:tab w:val="left" w:pos="360"/>
          <w:tab w:val="left" w:pos="720"/>
          <w:tab w:val="left" w:pos="1080"/>
          <w:tab w:val="left" w:pos="1440"/>
        </w:tabs>
        <w:ind w:left="720" w:hanging="720"/>
        <w:jc w:val="both"/>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96066D">
      <w:pPr>
        <w:widowControl w:val="0"/>
        <w:tabs>
          <w:tab w:val="left" w:pos="360"/>
        </w:tabs>
        <w:spacing w:after="120"/>
        <w:jc w:val="both"/>
      </w:pPr>
      <w:r>
        <w:tab/>
      </w:r>
      <w:r w:rsidRPr="000777F6">
        <w:t>[Rule 62-297.310(4), F.A.C.]</w:t>
      </w:r>
    </w:p>
    <w:p w:rsidR="0001387B" w:rsidRPr="0083799B" w:rsidRDefault="0001387B" w:rsidP="0096066D">
      <w:pPr>
        <w:widowControl w:val="0"/>
        <w:tabs>
          <w:tab w:val="left" w:pos="360"/>
          <w:tab w:val="left" w:pos="720"/>
          <w:tab w:val="left" w:pos="1080"/>
          <w:tab w:val="left" w:pos="1440"/>
        </w:tabs>
        <w:jc w:val="both"/>
      </w:pPr>
      <w:r w:rsidRPr="001B16D3">
        <w:rPr>
          <w:b/>
        </w:rPr>
        <w:t>TR5.</w:t>
      </w:r>
      <w:r>
        <w:tab/>
      </w:r>
      <w:r w:rsidRPr="005E244D">
        <w:rPr>
          <w:u w:val="single"/>
        </w:rPr>
        <w:t>Determination of Process Variables</w:t>
      </w:r>
      <w:r>
        <w:t>.</w:t>
      </w:r>
    </w:p>
    <w:p w:rsidR="0001387B" w:rsidRPr="005E244D" w:rsidRDefault="0001387B" w:rsidP="0096066D">
      <w:pPr>
        <w:pStyle w:val="BodyText3"/>
        <w:widowControl w:val="0"/>
        <w:tabs>
          <w:tab w:val="left" w:pos="360"/>
          <w:tab w:val="left" w:pos="720"/>
          <w:tab w:val="left" w:pos="1080"/>
          <w:tab w:val="left" w:pos="1440"/>
        </w:tabs>
        <w:spacing w:after="0"/>
        <w:ind w:left="720" w:hanging="720"/>
        <w:jc w:val="both"/>
        <w:rPr>
          <w:sz w:val="22"/>
        </w:rPr>
      </w:pPr>
      <w:r>
        <w:rPr>
          <w:sz w:val="22"/>
        </w:rPr>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lastRenderedPageBreak/>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lastRenderedPageBreak/>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lastRenderedPageBreak/>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AD504E">
          <w:headerReference w:type="even" r:id="rId21"/>
          <w:headerReference w:type="default" r:id="rId22"/>
          <w:footerReference w:type="default" r:id="rId23"/>
          <w:headerReference w:type="first" r:id="rId24"/>
          <w:pgSz w:w="12240" w:h="15840" w:code="1"/>
          <w:pgMar w:top="1440" w:right="1080" w:bottom="1440" w:left="1080" w:header="540" w:footer="432" w:gutter="0"/>
          <w:paperSrc w:first="264" w:other="264"/>
          <w:pgNumType w:start="1"/>
          <w:cols w:space="720"/>
          <w:docGrid w:linePitch="299"/>
        </w:sectPr>
      </w:pPr>
    </w:p>
    <w:p w:rsidR="0000182A" w:rsidRPr="002C56F4" w:rsidRDefault="0000182A" w:rsidP="0000182A">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00182A" w:rsidRPr="002C56F4" w:rsidRDefault="0000182A" w:rsidP="0000182A">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11048">
        <w:rPr>
          <w:szCs w:val="22"/>
        </w:rPr>
        <w:t>operation allowed by the source’s permit as provided by the terms of the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00182A" w:rsidRPr="002C56F4" w:rsidRDefault="0000182A" w:rsidP="0000182A">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00182A" w:rsidRPr="002C56F4" w:rsidRDefault="0000182A" w:rsidP="0000182A">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00182A" w:rsidRDefault="0000182A" w:rsidP="0000182A">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00182A" w:rsidRPr="002C56F4" w:rsidRDefault="0000182A" w:rsidP="0000182A">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00182A" w:rsidRPr="00706A71" w:rsidRDefault="0000182A" w:rsidP="0000182A">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 xml:space="preserve">Compliance </w:t>
      </w:r>
      <w:proofErr w:type="gramStart"/>
      <w:r w:rsidRPr="00B75A93">
        <w:rPr>
          <w:color w:val="auto"/>
          <w:sz w:val="22"/>
          <w:szCs w:val="20"/>
          <w:u w:val="single"/>
        </w:rPr>
        <w:t>With</w:t>
      </w:r>
      <w:proofErr w:type="gramEnd"/>
      <w:r w:rsidRPr="00B75A93">
        <w:rPr>
          <w:color w:val="auto"/>
          <w:sz w:val="22"/>
          <w:szCs w:val="20"/>
          <w:u w:val="single"/>
        </w:rPr>
        <w:t xml:space="preserve">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00182A" w:rsidRPr="00A76BA4" w:rsidRDefault="0000182A" w:rsidP="0000182A">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 xml:space="preserve">identified in Rules 62-210.900(1) [Application for Air Permit - </w:t>
      </w:r>
      <w:proofErr w:type="gramStart"/>
      <w:r w:rsidRPr="002C56F4">
        <w:t>Long  Form</w:t>
      </w:r>
      <w:proofErr w:type="gramEnd"/>
      <w:r w:rsidRPr="002C56F4">
        <w:t>],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00182A" w:rsidRPr="007E784C" w:rsidRDefault="0000182A" w:rsidP="0000182A">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00182A" w:rsidRPr="002C56F4" w:rsidRDefault="0000182A" w:rsidP="0000182A">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transferring the permit shall remain liable for corrective actions that may be required as a result of any </w:t>
      </w:r>
      <w:r w:rsidRPr="002C56F4">
        <w:lastRenderedPageBreak/>
        <w:t>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w:t>
      </w:r>
      <w:proofErr w:type="gramStart"/>
      <w:r w:rsidRPr="002C56F4">
        <w:t>,  F.A.C</w:t>
      </w:r>
      <w:proofErr w:type="gramEnd"/>
      <w:r w:rsidRPr="002C56F4">
        <w:t>.]</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w:t>
      </w:r>
      <w:proofErr w:type="gramStart"/>
      <w:r w:rsidRPr="002C56F4">
        <w:t>,  (</w:t>
      </w:r>
      <w:proofErr w:type="gramEnd"/>
      <w:r w:rsidRPr="002C56F4">
        <w:t>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00182A" w:rsidRPr="002C56F4" w:rsidRDefault="0000182A" w:rsidP="0000182A">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00182A" w:rsidRPr="002C56F4" w:rsidRDefault="0000182A" w:rsidP="0000182A">
      <w:pPr>
        <w:widowControl w:val="0"/>
        <w:tabs>
          <w:tab w:val="left" w:pos="360"/>
          <w:tab w:val="left" w:pos="720"/>
          <w:tab w:val="left" w:pos="1080"/>
          <w:tab w:val="left" w:pos="1440"/>
          <w:tab w:val="left" w:pos="1800"/>
          <w:tab w:val="left" w:pos="2160"/>
        </w:tabs>
        <w:spacing w:after="120"/>
      </w:pPr>
      <w:r w:rsidRPr="002C56F4">
        <w:tab/>
        <w:t>[Rules 62-4.160(7), (9), and (10),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00182A" w:rsidRDefault="0000182A" w:rsidP="0000182A">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00182A" w:rsidRPr="00362586" w:rsidRDefault="0000182A" w:rsidP="0000182A">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00182A" w:rsidRPr="00362586" w:rsidRDefault="0000182A" w:rsidP="0000182A">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00182A" w:rsidRPr="002C56F4" w:rsidRDefault="0000182A" w:rsidP="0000182A">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00182A" w:rsidRPr="002C56F4" w:rsidRDefault="0000182A" w:rsidP="0000182A">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00182A" w:rsidRPr="002C56F4" w:rsidRDefault="0000182A" w:rsidP="0000182A">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00182A" w:rsidRPr="002C56F4" w:rsidRDefault="0000182A" w:rsidP="0000182A">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00182A" w:rsidRPr="002C56F4" w:rsidRDefault="0000182A" w:rsidP="0000182A">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00182A" w:rsidRPr="00362586" w:rsidRDefault="0000182A" w:rsidP="0000182A">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00182A" w:rsidRPr="002C56F4" w:rsidRDefault="0000182A" w:rsidP="0000182A">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00182A" w:rsidRPr="002C56F4" w:rsidRDefault="0000182A" w:rsidP="0000182A">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 xml:space="preserve">In computing the emissions of a pollutant, the owner or operator shall account for the emissions during periods of </w:t>
      </w:r>
      <w:r w:rsidRPr="002C56F4">
        <w:rPr>
          <w:szCs w:val="16"/>
        </w:rPr>
        <w:lastRenderedPageBreak/>
        <w:t>missing data from CEMS, PEMS, or CPMS using other site-specific data to generate a reasonable estimate of such emissions.</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00182A" w:rsidRPr="00E05596" w:rsidRDefault="0000182A" w:rsidP="0000182A">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00182A" w:rsidRPr="002C56F4" w:rsidRDefault="0000182A" w:rsidP="0000182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00182A" w:rsidRPr="002C56F4" w:rsidRDefault="0000182A" w:rsidP="0000182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00182A" w:rsidRPr="002C56F4" w:rsidRDefault="0000182A" w:rsidP="0000182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EB7550" w:rsidRDefault="00EB7550">
      <w:pPr>
        <w:sectPr w:rsidR="00EB7550" w:rsidSect="00562877">
          <w:headerReference w:type="even" r:id="rId25"/>
          <w:headerReference w:type="default" r:id="rId26"/>
          <w:footerReference w:type="default" r:id="rId27"/>
          <w:headerReference w:type="first" r:id="rId28"/>
          <w:pgSz w:w="12240" w:h="15840" w:code="1"/>
          <w:pgMar w:top="720" w:right="1080" w:bottom="720" w:left="1080" w:header="720" w:footer="576" w:gutter="0"/>
          <w:paperSrc w:first="4" w:other="4"/>
          <w:pgNumType w:start="1"/>
          <w:cols w:space="720"/>
        </w:sectPr>
      </w:pPr>
    </w:p>
    <w:p w:rsidR="00EB7550" w:rsidRPr="006D4EE5" w:rsidRDefault="00EB7550" w:rsidP="00EB7550">
      <w:pPr>
        <w:pStyle w:val="NormalWeb"/>
        <w:spacing w:before="0" w:beforeAutospacing="0" w:after="0" w:afterAutospacing="0"/>
        <w:rPr>
          <w:rStyle w:val="mainheader1"/>
          <w:rFonts w:ascii="Times New Roman" w:hAnsi="Times New Roman" w:cs="Times New Roman"/>
          <w:strike/>
          <w:sz w:val="20"/>
          <w:szCs w:val="20"/>
          <w:highlight w:val="yellow"/>
        </w:rPr>
      </w:pPr>
      <w:r w:rsidRPr="006D4EE5">
        <w:rPr>
          <w:rStyle w:val="mainheader1"/>
          <w:rFonts w:ascii="Times New Roman" w:hAnsi="Times New Roman" w:cs="Times New Roman"/>
          <w:strike/>
          <w:sz w:val="20"/>
          <w:szCs w:val="20"/>
          <w:highlight w:val="yellow"/>
        </w:rPr>
        <w:lastRenderedPageBreak/>
        <w:t>Title 40: Protection of Environment</w:t>
      </w:r>
      <w:bookmarkStart w:id="0" w:name="40:6.0.1.1.1"/>
    </w:p>
    <w:p w:rsidR="00EB7550" w:rsidRPr="006D4EE5" w:rsidRDefault="00EB7550" w:rsidP="00EB7550">
      <w:pPr>
        <w:pStyle w:val="NormalWeb"/>
        <w:spacing w:before="0" w:beforeAutospacing="0" w:after="0" w:afterAutospacing="0"/>
        <w:rPr>
          <w:rStyle w:val="div5head"/>
          <w:rFonts w:ascii="Times New Roman" w:hAnsi="Times New Roman" w:cs="Times New Roman"/>
          <w:strike/>
          <w:sz w:val="20"/>
          <w:szCs w:val="20"/>
          <w:highlight w:val="yellow"/>
        </w:rPr>
      </w:pPr>
      <w:hyperlink r:id="rId29" w:history="1">
        <w:r w:rsidRPr="006D4EE5">
          <w:rPr>
            <w:rStyle w:val="Hyperlink"/>
            <w:rFonts w:ascii="Times New Roman" w:hAnsi="Times New Roman" w:cs="Times New Roman"/>
            <w:strike/>
            <w:color w:val="auto"/>
            <w:sz w:val="20"/>
            <w:szCs w:val="20"/>
            <w:highlight w:val="yellow"/>
          </w:rPr>
          <w:t>PART 60—STANDARDS OF PERFORMANCE FOR NEW STATIONARY SOURCES</w:t>
        </w:r>
      </w:hyperlink>
      <w:bookmarkEnd w:id="0"/>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Subpart </w:t>
      </w:r>
      <w:proofErr w:type="gramStart"/>
      <w:r w:rsidRPr="006D4EE5">
        <w:rPr>
          <w:rFonts w:ascii="Times New Roman" w:hAnsi="Times New Roman" w:cs="Times New Roman"/>
          <w:strike/>
          <w:sz w:val="20"/>
          <w:szCs w:val="20"/>
          <w:highlight w:val="yellow"/>
        </w:rPr>
        <w:t>A—</w:t>
      </w:r>
      <w:proofErr w:type="gramEnd"/>
      <w:r w:rsidRPr="006D4EE5">
        <w:rPr>
          <w:rFonts w:ascii="Times New Roman" w:hAnsi="Times New Roman" w:cs="Times New Roman"/>
          <w:strike/>
          <w:sz w:val="20"/>
          <w:szCs w:val="20"/>
          <w:highlight w:val="yellow"/>
        </w:rPr>
        <w:t>General Provisions</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   Applicability.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Site-specific standard for Merck &amp; Co., Inc.'s Stonewall Plant in Elkton, Virginia. </w:t>
      </w:r>
      <w:r w:rsidRPr="006D4EE5">
        <w:rPr>
          <w:rFonts w:ascii="Times New Roman" w:hAnsi="Times New Roman" w:cs="Times New Roman"/>
          <w:strike/>
          <w:sz w:val="20"/>
          <w:szCs w:val="20"/>
          <w:highlight w:val="yellow"/>
        </w:rPr>
        <w:t>(1) This paragraph applies only to the pharmaceutical manufacturing facility, commonly referred to as the Stonewall Plant, located at Route 340 South, in Elkton, Virginia (“site”).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Notwithstanding the provisions of paragraph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FR 53346, Nov. 17, 1975, as amended at 55 FR 51382, Dec. 13, 1990; 59 FR 12427, Mar. 16, 1994; 62 FR 52641, Oct. 8, 1997]</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60.2   Definitions.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The terms used in this part are defined in the Act or in this section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Act </w:t>
      </w:r>
      <w:r w:rsidRPr="006D4EE5">
        <w:rPr>
          <w:rFonts w:ascii="Times New Roman" w:hAnsi="Times New Roman" w:cs="Times New Roman"/>
          <w:strike/>
          <w:sz w:val="20"/>
          <w:szCs w:val="20"/>
          <w:highlight w:val="yellow"/>
        </w:rPr>
        <w:t xml:space="preserve">means the Clean Air Act (42 U.S.C. 7401 </w:t>
      </w:r>
      <w:r w:rsidRPr="006D4EE5">
        <w:rPr>
          <w:rFonts w:ascii="Times New Roman" w:hAnsi="Times New Roman" w:cs="Times New Roman"/>
          <w:i/>
          <w:iCs/>
          <w:strike/>
          <w:sz w:val="20"/>
          <w:szCs w:val="20"/>
          <w:highlight w:val="yellow"/>
        </w:rPr>
        <w:t>et seq</w:t>
      </w:r>
      <w:proofErr w:type="gramStart"/>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w:t>
      </w:r>
      <w:proofErr w:type="gramEnd"/>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Administrator </w:t>
      </w:r>
      <w:r w:rsidRPr="006D4EE5">
        <w:rPr>
          <w:rFonts w:ascii="Times New Roman" w:hAnsi="Times New Roman" w:cs="Times New Roman"/>
          <w:strike/>
          <w:sz w:val="20"/>
          <w:szCs w:val="20"/>
          <w:highlight w:val="yellow"/>
        </w:rPr>
        <w:t>means the Administrator of the Environmental Protection Agency or his authorized representative.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Affected facility </w:t>
      </w:r>
      <w:r w:rsidRPr="006D4EE5">
        <w:rPr>
          <w:rFonts w:ascii="Times New Roman" w:hAnsi="Times New Roman" w:cs="Times New Roman"/>
          <w:strike/>
          <w:sz w:val="20"/>
          <w:szCs w:val="20"/>
          <w:highlight w:val="yellow"/>
        </w:rPr>
        <w:t>means, with reference to a stationary source, any apparatus to which a standard is applicable.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Alternative method </w:t>
      </w:r>
      <w:r w:rsidRPr="006D4EE5">
        <w:rPr>
          <w:rFonts w:ascii="Times New Roman" w:hAnsi="Times New Roman" w:cs="Times New Roman"/>
          <w:strike/>
          <w:sz w:val="20"/>
          <w:szCs w:val="20"/>
          <w:highlight w:val="yellow"/>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Approved permit program </w:t>
      </w:r>
      <w:r w:rsidRPr="006D4EE5">
        <w:rPr>
          <w:rFonts w:ascii="Times New Roman" w:hAnsi="Times New Roman" w:cs="Times New Roman"/>
          <w:strike/>
          <w:sz w:val="20"/>
          <w:szCs w:val="20"/>
          <w:highlight w:val="yellow"/>
        </w:rPr>
        <w:t>means a State permit program approved by the Administrator as meeting the requirements of part 70 of this chapter or a Federal permit program established in this chapter pursuant to Title V of the Act (42 U.S.C. 7661).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Capital expenditure </w:t>
      </w:r>
      <w:r w:rsidRPr="006D4EE5">
        <w:rPr>
          <w:rFonts w:ascii="Times New Roman" w:hAnsi="Times New Roman" w:cs="Times New Roman"/>
          <w:strike/>
          <w:sz w:val="20"/>
          <w:szCs w:val="20"/>
          <w:highlight w:val="yellow"/>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Clean coal technology demonstration project </w:t>
      </w:r>
      <w:r w:rsidRPr="006D4EE5">
        <w:rPr>
          <w:rFonts w:ascii="Times New Roman" w:hAnsi="Times New Roman" w:cs="Times New Roman"/>
          <w:strike/>
          <w:sz w:val="20"/>
          <w:szCs w:val="20"/>
          <w:highlight w:val="yellow"/>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Commenced </w:t>
      </w:r>
      <w:r w:rsidRPr="006D4EE5">
        <w:rPr>
          <w:rFonts w:ascii="Times New Roman" w:hAnsi="Times New Roman" w:cs="Times New Roman"/>
          <w:strike/>
          <w:sz w:val="20"/>
          <w:szCs w:val="20"/>
          <w:highlight w:val="yellow"/>
        </w:rPr>
        <w:t xml:space="preserve">means, with respect to the definition of </w:t>
      </w:r>
      <w:r w:rsidRPr="006D4EE5">
        <w:rPr>
          <w:rFonts w:ascii="Times New Roman" w:hAnsi="Times New Roman" w:cs="Times New Roman"/>
          <w:i/>
          <w:iCs/>
          <w:strike/>
          <w:sz w:val="20"/>
          <w:szCs w:val="20"/>
          <w:highlight w:val="yellow"/>
        </w:rPr>
        <w:t xml:space="preserve">new source </w:t>
      </w:r>
      <w:r w:rsidRPr="006D4EE5">
        <w:rPr>
          <w:rFonts w:ascii="Times New Roman" w:hAnsi="Times New Roman" w:cs="Times New Roman"/>
          <w:strike/>
          <w:sz w:val="20"/>
          <w:szCs w:val="20"/>
          <w:highlight w:val="yellow"/>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Construction </w:t>
      </w:r>
      <w:r w:rsidRPr="006D4EE5">
        <w:rPr>
          <w:rFonts w:ascii="Times New Roman" w:hAnsi="Times New Roman" w:cs="Times New Roman"/>
          <w:strike/>
          <w:sz w:val="20"/>
          <w:szCs w:val="20"/>
          <w:highlight w:val="yellow"/>
        </w:rPr>
        <w:t>means fabrication, erection, or installation of an affected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Continuous monitoring system </w:t>
      </w:r>
      <w:r w:rsidRPr="006D4EE5">
        <w:rPr>
          <w:rFonts w:ascii="Times New Roman" w:hAnsi="Times New Roman" w:cs="Times New Roman"/>
          <w:strike/>
          <w:sz w:val="20"/>
          <w:szCs w:val="20"/>
          <w:highlight w:val="yellow"/>
        </w:rPr>
        <w:t>means the total equipment, required under the emission monitoring sections in applicable subparts, used to sample and condition (if applicable), to analyze, and to provide a permanent record of emissions or process parameters.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Electric utility steam generating unit </w:t>
      </w:r>
      <w:r w:rsidRPr="006D4EE5">
        <w:rPr>
          <w:rFonts w:ascii="Times New Roman" w:hAnsi="Times New Roman" w:cs="Times New Roman"/>
          <w:strike/>
          <w:sz w:val="20"/>
          <w:szCs w:val="20"/>
          <w:highlight w:val="yellow"/>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Equivalent method </w:t>
      </w:r>
      <w:r w:rsidRPr="006D4EE5">
        <w:rPr>
          <w:rFonts w:ascii="Times New Roman" w:hAnsi="Times New Roman" w:cs="Times New Roman"/>
          <w:strike/>
          <w:sz w:val="20"/>
          <w:szCs w:val="20"/>
          <w:highlight w:val="yellow"/>
        </w:rPr>
        <w:t>means any method of sampling and analyzing for an air pollutant which has been demonstrated to the Administrator's satisfaction to have a consistent and quantitatively known relationship to the reference method, under specified conditions.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Excess Emissions and Monitoring Systems Performance Report </w:t>
      </w:r>
      <w:r w:rsidRPr="006D4EE5">
        <w:rPr>
          <w:rFonts w:ascii="Times New Roman" w:hAnsi="Times New Roman" w:cs="Times New Roman"/>
          <w:strike/>
          <w:sz w:val="20"/>
          <w:szCs w:val="20"/>
          <w:highlight w:val="yellow"/>
        </w:rPr>
        <w:t>is a report that must be submitted periodically by a source in order to provide data on its compliance with stated emission limits and operating parameters, and on the performance of its monitoring systems.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Existing facility </w:t>
      </w:r>
      <w:r w:rsidRPr="006D4EE5">
        <w:rPr>
          <w:rFonts w:ascii="Times New Roman" w:hAnsi="Times New Roman" w:cs="Times New Roman"/>
          <w:strike/>
          <w:sz w:val="20"/>
          <w:szCs w:val="20"/>
          <w:highlight w:val="yellow"/>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Force majeure </w:t>
      </w:r>
      <w:r w:rsidRPr="006D4EE5">
        <w:rPr>
          <w:rFonts w:ascii="Times New Roman" w:hAnsi="Times New Roman" w:cs="Times New Roman"/>
          <w:strike/>
          <w:sz w:val="20"/>
          <w:szCs w:val="20"/>
          <w:highlight w:val="yellow"/>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Isokinetic sampling </w:t>
      </w:r>
      <w:r w:rsidRPr="006D4EE5">
        <w:rPr>
          <w:rFonts w:ascii="Times New Roman" w:hAnsi="Times New Roman" w:cs="Times New Roman"/>
          <w:strike/>
          <w:sz w:val="20"/>
          <w:szCs w:val="20"/>
          <w:highlight w:val="yellow"/>
        </w:rPr>
        <w:t>means sampling in which the linear velocity of the gas entering the sampling nozzle is equal to that of the undisturbed gas stream at the sample point.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Issuance </w:t>
      </w:r>
      <w:r w:rsidRPr="006D4EE5">
        <w:rPr>
          <w:rFonts w:ascii="Times New Roman" w:hAnsi="Times New Roman" w:cs="Times New Roman"/>
          <w:strike/>
          <w:sz w:val="20"/>
          <w:szCs w:val="20"/>
          <w:highlight w:val="yellow"/>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Malfunction </w:t>
      </w:r>
      <w:r w:rsidRPr="006D4EE5">
        <w:rPr>
          <w:rFonts w:ascii="Times New Roman" w:hAnsi="Times New Roman" w:cs="Times New Roman"/>
          <w:strike/>
          <w:sz w:val="20"/>
          <w:szCs w:val="20"/>
          <w:highlight w:val="yellow"/>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Modification </w:t>
      </w:r>
      <w:r w:rsidRPr="006D4EE5">
        <w:rPr>
          <w:rFonts w:ascii="Times New Roman" w:hAnsi="Times New Roman" w:cs="Times New Roman"/>
          <w:strike/>
          <w:sz w:val="20"/>
          <w:szCs w:val="20"/>
          <w:highlight w:val="yellow"/>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Monitoring device </w:t>
      </w:r>
      <w:r w:rsidRPr="006D4EE5">
        <w:rPr>
          <w:rFonts w:ascii="Times New Roman" w:hAnsi="Times New Roman" w:cs="Times New Roman"/>
          <w:strike/>
          <w:sz w:val="20"/>
          <w:szCs w:val="20"/>
          <w:highlight w:val="yellow"/>
        </w:rPr>
        <w:t>means the total equipment, required under the monitoring of operations sections in applicable subparts, used to measure and record (if applicable) process parameters.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Nitrogen oxides </w:t>
      </w:r>
      <w:r w:rsidRPr="006D4EE5">
        <w:rPr>
          <w:rFonts w:ascii="Times New Roman" w:hAnsi="Times New Roman" w:cs="Times New Roman"/>
          <w:strike/>
          <w:sz w:val="20"/>
          <w:szCs w:val="20"/>
          <w:highlight w:val="yellow"/>
        </w:rPr>
        <w:t>means all oxides of nitrogen except nitrous oxide, as measured by test methods set forth in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One-hour period </w:t>
      </w:r>
      <w:r w:rsidRPr="006D4EE5">
        <w:rPr>
          <w:rFonts w:ascii="Times New Roman" w:hAnsi="Times New Roman" w:cs="Times New Roman"/>
          <w:strike/>
          <w:sz w:val="20"/>
          <w:szCs w:val="20"/>
          <w:highlight w:val="yellow"/>
        </w:rPr>
        <w:t>means any 60-minute period commencing on the hour.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Opacity </w:t>
      </w:r>
      <w:r w:rsidRPr="006D4EE5">
        <w:rPr>
          <w:rFonts w:ascii="Times New Roman" w:hAnsi="Times New Roman" w:cs="Times New Roman"/>
          <w:strike/>
          <w:sz w:val="20"/>
          <w:szCs w:val="20"/>
          <w:highlight w:val="yellow"/>
        </w:rPr>
        <w:t>means the degree to which emissions reduce the transmission of light and obscure the view of an object in the background.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Owner or operator </w:t>
      </w:r>
      <w:r w:rsidRPr="006D4EE5">
        <w:rPr>
          <w:rFonts w:ascii="Times New Roman" w:hAnsi="Times New Roman" w:cs="Times New Roman"/>
          <w:strike/>
          <w:sz w:val="20"/>
          <w:szCs w:val="20"/>
          <w:highlight w:val="yellow"/>
        </w:rPr>
        <w:t>means any person who owns, leases, operates, controls, or supervises an affected facility or a stationary source of which an affected facility is a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Part 70 permit </w:t>
      </w:r>
      <w:r w:rsidRPr="006D4EE5">
        <w:rPr>
          <w:rFonts w:ascii="Times New Roman" w:hAnsi="Times New Roman" w:cs="Times New Roman"/>
          <w:strike/>
          <w:sz w:val="20"/>
          <w:szCs w:val="20"/>
          <w:highlight w:val="yellow"/>
        </w:rPr>
        <w:t>means any permit issued, renewed, or revised pursuant to part 70 of this chapter.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Particulate matter </w:t>
      </w:r>
      <w:r w:rsidRPr="006D4EE5">
        <w:rPr>
          <w:rFonts w:ascii="Times New Roman" w:hAnsi="Times New Roman" w:cs="Times New Roman"/>
          <w:strike/>
          <w:sz w:val="20"/>
          <w:szCs w:val="20"/>
          <w:highlight w:val="yellow"/>
        </w:rPr>
        <w:t>means any finely divided solid or liquid material, other than uncombined water, as measured by the reference methods specified under each applicable subpart, or an equivalent or alternative method.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Permit program </w:t>
      </w:r>
      <w:r w:rsidRPr="006D4EE5">
        <w:rPr>
          <w:rFonts w:ascii="Times New Roman" w:hAnsi="Times New Roman" w:cs="Times New Roman"/>
          <w:strike/>
          <w:sz w:val="20"/>
          <w:szCs w:val="20"/>
          <w:highlight w:val="yellow"/>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Permitting authority </w:t>
      </w:r>
      <w:r w:rsidRPr="006D4EE5">
        <w:rPr>
          <w:rFonts w:ascii="Times New Roman" w:hAnsi="Times New Roman" w:cs="Times New Roman"/>
          <w:strike/>
          <w:sz w:val="20"/>
          <w:szCs w:val="20"/>
          <w:highlight w:val="yellow"/>
        </w:rPr>
        <w:t>means: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State air pollution control agency, local agency, other State agency, or other agency authorized by the Administrator to carry out a permit program under part 70 of this chapter; 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Administrator, in the case of EPA-implemented permit programs under title V of the Act (42 U.S.C. 7661).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Proportional sampling </w:t>
      </w:r>
      <w:r w:rsidRPr="006D4EE5">
        <w:rPr>
          <w:rFonts w:ascii="Times New Roman" w:hAnsi="Times New Roman" w:cs="Times New Roman"/>
          <w:strike/>
          <w:sz w:val="20"/>
          <w:szCs w:val="20"/>
          <w:highlight w:val="yellow"/>
        </w:rPr>
        <w:t>means sampling at a rate that produces a constant ratio of sampling rate to stack gas flow rate.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Reactivation of a very clean coal-fired electric utility steam generating unit </w:t>
      </w:r>
      <w:r w:rsidRPr="006D4EE5">
        <w:rPr>
          <w:rFonts w:ascii="Times New Roman" w:hAnsi="Times New Roman" w:cs="Times New Roman"/>
          <w:strike/>
          <w:sz w:val="20"/>
          <w:szCs w:val="20"/>
          <w:highlight w:val="yellow"/>
        </w:rPr>
        <w:t>means any physical change or change in the method of operation associated with the commencement of commercial operations by a coal-fired utility unit after a period of discontinued operation where the unit: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Has not been in operation for the two-year period prior to the enactment of the Clean Air Act Amendments of 1990, and the emissions from such unit continue to be carried in the permitting authority's emissions inventory at the time of enactment;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Was equipped prior to shut-down with a continuous system of emissions control that achieves a removal efficiency for sulfur dioxide of no less than 85 percent and a removal efficiency for particulates of no less than 98 percent;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 Is equipped with low-</w:t>
      </w:r>
      <w:proofErr w:type="spellStart"/>
      <w:r w:rsidRPr="006D4EE5">
        <w:rPr>
          <w:rFonts w:ascii="Times New Roman" w:hAnsi="Times New Roman" w:cs="Times New Roman"/>
          <w:strike/>
          <w:sz w:val="20"/>
          <w:szCs w:val="20"/>
          <w:highlight w:val="yellow"/>
        </w:rPr>
        <w:t>NO</w:t>
      </w:r>
      <w:r w:rsidRPr="006D4EE5">
        <w:rPr>
          <w:rFonts w:ascii="Times New Roman" w:hAnsi="Times New Roman" w:cs="Times New Roman"/>
          <w:strike/>
          <w:sz w:val="20"/>
          <w:szCs w:val="20"/>
          <w:highlight w:val="yellow"/>
          <w:vertAlign w:val="subscript"/>
        </w:rPr>
        <w:t>X</w:t>
      </w:r>
      <w:r w:rsidRPr="006D4EE5">
        <w:rPr>
          <w:rFonts w:ascii="Times New Roman" w:hAnsi="Times New Roman" w:cs="Times New Roman"/>
          <w:strike/>
          <w:sz w:val="20"/>
          <w:szCs w:val="20"/>
          <w:highlight w:val="yellow"/>
        </w:rPr>
        <w:t>burners</w:t>
      </w:r>
      <w:proofErr w:type="spellEnd"/>
      <w:r w:rsidRPr="006D4EE5">
        <w:rPr>
          <w:rFonts w:ascii="Times New Roman" w:hAnsi="Times New Roman" w:cs="Times New Roman"/>
          <w:strike/>
          <w:sz w:val="20"/>
          <w:szCs w:val="20"/>
          <w:highlight w:val="yellow"/>
        </w:rPr>
        <w:t xml:space="preserve"> prior to the time of commencement of operations following reactivation; and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Is otherwise in compliance with the requirements of the Clean Air Act.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Reference method </w:t>
      </w:r>
      <w:r w:rsidRPr="006D4EE5">
        <w:rPr>
          <w:rFonts w:ascii="Times New Roman" w:hAnsi="Times New Roman" w:cs="Times New Roman"/>
          <w:strike/>
          <w:sz w:val="20"/>
          <w:szCs w:val="20"/>
          <w:highlight w:val="yellow"/>
        </w:rPr>
        <w:t>means any method of sampling and analyzing for an air pollutant as specified in the applicable subpart.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Repowering </w:t>
      </w:r>
      <w:r w:rsidRPr="006D4EE5">
        <w:rPr>
          <w:rFonts w:ascii="Times New Roman" w:hAnsi="Times New Roman" w:cs="Times New Roman"/>
          <w:strike/>
          <w:sz w:val="20"/>
          <w:szCs w:val="20"/>
          <w:highlight w:val="yellow"/>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Run </w:t>
      </w:r>
      <w:r w:rsidRPr="006D4EE5">
        <w:rPr>
          <w:rFonts w:ascii="Times New Roman" w:hAnsi="Times New Roman" w:cs="Times New Roman"/>
          <w:strike/>
          <w:sz w:val="20"/>
          <w:szCs w:val="20"/>
          <w:highlight w:val="yellow"/>
        </w:rPr>
        <w:t>means the net period of time during which an emission sample is collected. Unless otherwise specified, a run may be either intermittent or continuous within the limits of good engineering practice.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Shutdown </w:t>
      </w:r>
      <w:r w:rsidRPr="006D4EE5">
        <w:rPr>
          <w:rFonts w:ascii="Times New Roman" w:hAnsi="Times New Roman" w:cs="Times New Roman"/>
          <w:strike/>
          <w:sz w:val="20"/>
          <w:szCs w:val="20"/>
          <w:highlight w:val="yellow"/>
        </w:rPr>
        <w:t>means the cessation of operation of an affected facility for any purpose.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Six-minute period </w:t>
      </w:r>
      <w:r w:rsidRPr="006D4EE5">
        <w:rPr>
          <w:rFonts w:ascii="Times New Roman" w:hAnsi="Times New Roman" w:cs="Times New Roman"/>
          <w:strike/>
          <w:sz w:val="20"/>
          <w:szCs w:val="20"/>
          <w:highlight w:val="yellow"/>
        </w:rPr>
        <w:t>means any one of the 10 equal parts of a one-hour period.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Standard </w:t>
      </w:r>
      <w:r w:rsidRPr="006D4EE5">
        <w:rPr>
          <w:rFonts w:ascii="Times New Roman" w:hAnsi="Times New Roman" w:cs="Times New Roman"/>
          <w:strike/>
          <w:sz w:val="20"/>
          <w:szCs w:val="20"/>
          <w:highlight w:val="yellow"/>
        </w:rPr>
        <w:t>means a standard of performance proposed or promulgated under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Standard conditions </w:t>
      </w:r>
      <w:r w:rsidRPr="006D4EE5">
        <w:rPr>
          <w:rFonts w:ascii="Times New Roman" w:hAnsi="Times New Roman" w:cs="Times New Roman"/>
          <w:strike/>
          <w:sz w:val="20"/>
          <w:szCs w:val="20"/>
          <w:highlight w:val="yellow"/>
        </w:rPr>
        <w:t>means a temperature of 293 K (68F) and a pressure of 101.3 kilopascals (29.92 in Hg).</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Startup </w:t>
      </w:r>
      <w:r w:rsidRPr="006D4EE5">
        <w:rPr>
          <w:rFonts w:ascii="Times New Roman" w:hAnsi="Times New Roman" w:cs="Times New Roman"/>
          <w:strike/>
          <w:sz w:val="20"/>
          <w:szCs w:val="20"/>
          <w:highlight w:val="yellow"/>
        </w:rPr>
        <w:t>means the setting in operation of an affected facility for any purpose.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State </w:t>
      </w:r>
      <w:r w:rsidRPr="006D4EE5">
        <w:rPr>
          <w:rFonts w:ascii="Times New Roman" w:hAnsi="Times New Roman" w:cs="Times New Roman"/>
          <w:strike/>
          <w:sz w:val="20"/>
          <w:szCs w:val="20"/>
          <w:highlight w:val="yellow"/>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Stationary source </w:t>
      </w:r>
      <w:r w:rsidRPr="006D4EE5">
        <w:rPr>
          <w:rFonts w:ascii="Times New Roman" w:hAnsi="Times New Roman" w:cs="Times New Roman"/>
          <w:strike/>
          <w:sz w:val="20"/>
          <w:szCs w:val="20"/>
          <w:highlight w:val="yellow"/>
        </w:rPr>
        <w:t>means any building, structure, facility, or installation which emits or may emit any air pollutant.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Title V permit </w:t>
      </w:r>
      <w:r w:rsidRPr="006D4EE5">
        <w:rPr>
          <w:rFonts w:ascii="Times New Roman" w:hAnsi="Times New Roman" w:cs="Times New Roman"/>
          <w:strike/>
          <w:sz w:val="20"/>
          <w:szCs w:val="20"/>
          <w:highlight w:val="yellow"/>
        </w:rPr>
        <w:t>means any permit issued, renewed, or revised pursuant to Federal or State regulations established to implement title V of the Act (42 U.S.C. 7661). A title V permit issued by a State permitting authority is called a part 70 permit in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Volatile Organic Compound </w:t>
      </w:r>
      <w:r w:rsidRPr="006D4EE5">
        <w:rPr>
          <w:rFonts w:ascii="Times New Roman" w:hAnsi="Times New Roman" w:cs="Times New Roman"/>
          <w:strike/>
          <w:sz w:val="20"/>
          <w:szCs w:val="20"/>
          <w:highlight w:val="yellow"/>
        </w:rPr>
        <w:t>means any organic compound which participates in atmospheric photochemical reactions; or which is measured by a reference method, an equivalent method, an alternative method, or which is determined by procedures specified under any subpart.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[44 FR 55173, Sept. 25, 1979, as amended at 45 FR 5617, Jan. 23, 1980; 45 FR 85415, Dec. 24, 1980; 54 FR 6662, Feb. 14, 1989; 55 FR 51382, Dec. 13, 1990; 57 FR 32338, July 21, 1992; 59 FR 12427, Mar. 16, 1994; 72 FR 27442, May 16, 2007]</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60.3   Units and abbreviations.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Used in this part are abbreviations and symbols of units of measure. These are defined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System International (SI) units of measure: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A—ampere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w:t>
      </w:r>
      <w:proofErr w:type="gramEnd"/>
      <w:r w:rsidRPr="006D4EE5">
        <w:rPr>
          <w:rFonts w:ascii="Times New Roman" w:hAnsi="Times New Roman" w:cs="Times New Roman"/>
          <w:strike/>
          <w:sz w:val="20"/>
          <w:szCs w:val="20"/>
          <w:highlight w:val="yellow"/>
        </w:rPr>
        <w:t>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Hz—hertz</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J—joule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K—degree Kelvin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kg—</w:t>
      </w:r>
      <w:proofErr w:type="gramEnd"/>
      <w:r w:rsidRPr="006D4EE5">
        <w:rPr>
          <w:rFonts w:ascii="Times New Roman" w:hAnsi="Times New Roman" w:cs="Times New Roman"/>
          <w:strike/>
          <w:sz w:val="20"/>
          <w:szCs w:val="20"/>
          <w:highlight w:val="yellow"/>
        </w:rPr>
        <w:t>kilogram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w:t>
      </w:r>
      <w:proofErr w:type="gramEnd"/>
      <w:r w:rsidRPr="006D4EE5">
        <w:rPr>
          <w:rFonts w:ascii="Times New Roman" w:hAnsi="Times New Roman" w:cs="Times New Roman"/>
          <w:strike/>
          <w:sz w:val="20"/>
          <w:szCs w:val="20"/>
          <w:highlight w:val="yellow"/>
        </w:rPr>
        <w:t>meter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—cubic meter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mg—</w:t>
      </w:r>
      <w:proofErr w:type="gramEnd"/>
      <w:r w:rsidRPr="006D4EE5">
        <w:rPr>
          <w:rFonts w:ascii="Times New Roman" w:hAnsi="Times New Roman" w:cs="Times New Roman"/>
          <w:strike/>
          <w:sz w:val="20"/>
          <w:szCs w:val="20"/>
          <w:highlight w:val="yellow"/>
        </w:rPr>
        <w:t>milligram—10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mm—</w:t>
      </w:r>
      <w:proofErr w:type="gramEnd"/>
      <w:r w:rsidRPr="006D4EE5">
        <w:rPr>
          <w:rFonts w:ascii="Times New Roman" w:hAnsi="Times New Roman" w:cs="Times New Roman"/>
          <w:strike/>
          <w:sz w:val="20"/>
          <w:szCs w:val="20"/>
          <w:highlight w:val="yellow"/>
        </w:rPr>
        <w:t>millimeter—10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meter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Mg—megagram—10</w:t>
      </w:r>
      <w:r w:rsidRPr="006D4EE5">
        <w:rPr>
          <w:rFonts w:ascii="Times New Roman" w:hAnsi="Times New Roman" w:cs="Times New Roman"/>
          <w:strike/>
          <w:sz w:val="20"/>
          <w:szCs w:val="20"/>
          <w:highlight w:val="yellow"/>
          <w:vertAlign w:val="superscript"/>
        </w:rPr>
        <w:t>6</w:t>
      </w:r>
      <w:r w:rsidRPr="006D4EE5">
        <w:rPr>
          <w:rFonts w:ascii="Times New Roman" w:hAnsi="Times New Roman" w:cs="Times New Roman"/>
          <w:strike/>
          <w:sz w:val="20"/>
          <w:szCs w:val="20"/>
          <w:highlight w:val="yellow"/>
        </w:rPr>
        <w:t xml:space="preserve"> 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mol—</w:t>
      </w:r>
      <w:proofErr w:type="gramEnd"/>
      <w:r w:rsidRPr="006D4EE5">
        <w:rPr>
          <w:rFonts w:ascii="Times New Roman" w:hAnsi="Times New Roman" w:cs="Times New Roman"/>
          <w:strike/>
          <w:sz w:val="20"/>
          <w:szCs w:val="20"/>
          <w:highlight w:val="yellow"/>
        </w:rPr>
        <w:t>mole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N—newton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ng—</w:t>
      </w:r>
      <w:proofErr w:type="gramEnd"/>
      <w:r w:rsidRPr="006D4EE5">
        <w:rPr>
          <w:rFonts w:ascii="Times New Roman" w:hAnsi="Times New Roman" w:cs="Times New Roman"/>
          <w:strike/>
          <w:sz w:val="20"/>
          <w:szCs w:val="20"/>
          <w:highlight w:val="yellow"/>
        </w:rPr>
        <w:t>nanogram—10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nm—</w:t>
      </w:r>
      <w:proofErr w:type="gramEnd"/>
      <w:r w:rsidRPr="006D4EE5">
        <w:rPr>
          <w:rFonts w:ascii="Times New Roman" w:hAnsi="Times New Roman" w:cs="Times New Roman"/>
          <w:strike/>
          <w:sz w:val="20"/>
          <w:szCs w:val="20"/>
          <w:highlight w:val="yellow"/>
        </w:rPr>
        <w:t>nanometer—10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meter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Pa—pascal</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w:t>
      </w:r>
      <w:proofErr w:type="gramEnd"/>
      <w:r w:rsidRPr="006D4EE5">
        <w:rPr>
          <w:rFonts w:ascii="Times New Roman" w:hAnsi="Times New Roman" w:cs="Times New Roman"/>
          <w:strike/>
          <w:sz w:val="20"/>
          <w:szCs w:val="20"/>
          <w:highlight w:val="yellow"/>
        </w:rPr>
        <w:t>second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V—volt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W—watt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Ω—ohm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µg—microgram—10</w:t>
      </w:r>
      <w:r w:rsidRPr="006D4EE5">
        <w:rPr>
          <w:rFonts w:ascii="Times New Roman" w:hAnsi="Times New Roman" w:cs="Times New Roman"/>
          <w:strike/>
          <w:sz w:val="20"/>
          <w:szCs w:val="20"/>
          <w:highlight w:val="yellow"/>
          <w:vertAlign w:val="superscript"/>
        </w:rPr>
        <w:t>−6</w:t>
      </w:r>
      <w:r w:rsidRPr="006D4EE5">
        <w:rPr>
          <w:rFonts w:ascii="Times New Roman" w:hAnsi="Times New Roman" w:cs="Times New Roman"/>
          <w:strike/>
          <w:sz w:val="20"/>
          <w:szCs w:val="20"/>
          <w:highlight w:val="yellow"/>
        </w:rPr>
        <w:t>gram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Other units of measure: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Btu—British thermal unit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°C—degree Celsius (centigrade)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cal—</w:t>
      </w:r>
      <w:proofErr w:type="gramEnd"/>
      <w:r w:rsidRPr="006D4EE5">
        <w:rPr>
          <w:rFonts w:ascii="Times New Roman" w:hAnsi="Times New Roman" w:cs="Times New Roman"/>
          <w:strike/>
          <w:sz w:val="20"/>
          <w:szCs w:val="20"/>
          <w:highlight w:val="yellow"/>
        </w:rPr>
        <w:t>calorie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cfm—</w:t>
      </w:r>
      <w:proofErr w:type="gramEnd"/>
      <w:r w:rsidRPr="006D4EE5">
        <w:rPr>
          <w:rFonts w:ascii="Times New Roman" w:hAnsi="Times New Roman" w:cs="Times New Roman"/>
          <w:strike/>
          <w:sz w:val="20"/>
          <w:szCs w:val="20"/>
          <w:highlight w:val="yellow"/>
        </w:rPr>
        <w:t>cubic feet per minute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cu</w:t>
      </w:r>
      <w:proofErr w:type="gramEnd"/>
      <w:r w:rsidRPr="006D4EE5">
        <w:rPr>
          <w:rFonts w:ascii="Times New Roman" w:hAnsi="Times New Roman" w:cs="Times New Roman"/>
          <w:strike/>
          <w:sz w:val="20"/>
          <w:szCs w:val="20"/>
          <w:highlight w:val="yellow"/>
        </w:rPr>
        <w:t xml:space="preserve"> ft—cubic feet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dcf—</w:t>
      </w:r>
      <w:proofErr w:type="gramEnd"/>
      <w:r w:rsidRPr="006D4EE5">
        <w:rPr>
          <w:rFonts w:ascii="Times New Roman" w:hAnsi="Times New Roman" w:cs="Times New Roman"/>
          <w:strike/>
          <w:sz w:val="20"/>
          <w:szCs w:val="20"/>
          <w:highlight w:val="yellow"/>
        </w:rPr>
        <w:t>dry cubic feet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dcm—</w:t>
      </w:r>
      <w:proofErr w:type="gramEnd"/>
      <w:r w:rsidRPr="006D4EE5">
        <w:rPr>
          <w:rFonts w:ascii="Times New Roman" w:hAnsi="Times New Roman" w:cs="Times New Roman"/>
          <w:strike/>
          <w:sz w:val="20"/>
          <w:szCs w:val="20"/>
          <w:highlight w:val="yellow"/>
        </w:rPr>
        <w:t>dry cubic meter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dscf—</w:t>
      </w:r>
      <w:proofErr w:type="gramEnd"/>
      <w:r w:rsidRPr="006D4EE5">
        <w:rPr>
          <w:rFonts w:ascii="Times New Roman" w:hAnsi="Times New Roman" w:cs="Times New Roman"/>
          <w:strike/>
          <w:sz w:val="20"/>
          <w:szCs w:val="20"/>
          <w:highlight w:val="yellow"/>
        </w:rPr>
        <w:t>dry cubic feet 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dscm—</w:t>
      </w:r>
      <w:proofErr w:type="gramEnd"/>
      <w:r w:rsidRPr="006D4EE5">
        <w:rPr>
          <w:rFonts w:ascii="Times New Roman" w:hAnsi="Times New Roman" w:cs="Times New Roman"/>
          <w:strike/>
          <w:sz w:val="20"/>
          <w:szCs w:val="20"/>
          <w:highlight w:val="yellow"/>
        </w:rPr>
        <w:t>dry cubic meter 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eq—</w:t>
      </w:r>
      <w:proofErr w:type="gramEnd"/>
      <w:r w:rsidRPr="006D4EE5">
        <w:rPr>
          <w:rFonts w:ascii="Times New Roman" w:hAnsi="Times New Roman" w:cs="Times New Roman"/>
          <w:strike/>
          <w:sz w:val="20"/>
          <w:szCs w:val="20"/>
          <w:highlight w:val="yellow"/>
        </w:rPr>
        <w:t>equivalent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°F—degree Fahrenheit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ft—</w:t>
      </w:r>
      <w:proofErr w:type="gramEnd"/>
      <w:r w:rsidRPr="006D4EE5">
        <w:rPr>
          <w:rFonts w:ascii="Times New Roman" w:hAnsi="Times New Roman" w:cs="Times New Roman"/>
          <w:strike/>
          <w:sz w:val="20"/>
          <w:szCs w:val="20"/>
          <w:highlight w:val="yellow"/>
        </w:rPr>
        <w:t>feet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gal—</w:t>
      </w:r>
      <w:proofErr w:type="gramEnd"/>
      <w:r w:rsidRPr="006D4EE5">
        <w:rPr>
          <w:rFonts w:ascii="Times New Roman" w:hAnsi="Times New Roman" w:cs="Times New Roman"/>
          <w:strike/>
          <w:sz w:val="20"/>
          <w:szCs w:val="20"/>
          <w:highlight w:val="yellow"/>
        </w:rPr>
        <w:t>gallon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gr—</w:t>
      </w:r>
      <w:proofErr w:type="gramEnd"/>
      <w:r w:rsidRPr="006D4EE5">
        <w:rPr>
          <w:rFonts w:ascii="Times New Roman" w:hAnsi="Times New Roman" w:cs="Times New Roman"/>
          <w:strike/>
          <w:sz w:val="20"/>
          <w:szCs w:val="20"/>
          <w:highlight w:val="yellow"/>
        </w:rPr>
        <w:t>grain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g-eq—</w:t>
      </w:r>
      <w:proofErr w:type="gramEnd"/>
      <w:r w:rsidRPr="006D4EE5">
        <w:rPr>
          <w:rFonts w:ascii="Times New Roman" w:hAnsi="Times New Roman" w:cs="Times New Roman"/>
          <w:strike/>
          <w:sz w:val="20"/>
          <w:szCs w:val="20"/>
          <w:highlight w:val="yellow"/>
        </w:rPr>
        <w:t>gram equivalent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hr—</w:t>
      </w:r>
      <w:proofErr w:type="gramEnd"/>
      <w:r w:rsidRPr="006D4EE5">
        <w:rPr>
          <w:rFonts w:ascii="Times New Roman" w:hAnsi="Times New Roman" w:cs="Times New Roman"/>
          <w:strike/>
          <w:sz w:val="20"/>
          <w:szCs w:val="20"/>
          <w:highlight w:val="yellow"/>
        </w:rPr>
        <w:t>hour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in—</w:t>
      </w:r>
      <w:proofErr w:type="gramEnd"/>
      <w:r w:rsidRPr="006D4EE5">
        <w:rPr>
          <w:rFonts w:ascii="Times New Roman" w:hAnsi="Times New Roman" w:cs="Times New Roman"/>
          <w:strike/>
          <w:sz w:val="20"/>
          <w:szCs w:val="20"/>
          <w:highlight w:val="yellow"/>
        </w:rPr>
        <w:t>inch</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k—</w:t>
      </w:r>
      <w:proofErr w:type="gramEnd"/>
      <w:r w:rsidRPr="006D4EE5">
        <w:rPr>
          <w:rFonts w:ascii="Times New Roman" w:hAnsi="Times New Roman" w:cs="Times New Roman"/>
          <w:strike/>
          <w:sz w:val="20"/>
          <w:szCs w:val="20"/>
          <w:highlight w:val="yellow"/>
        </w:rPr>
        <w:t>1,000</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w:t>
      </w:r>
      <w:proofErr w:type="gramEnd"/>
      <w:r w:rsidRPr="006D4EE5">
        <w:rPr>
          <w:rFonts w:ascii="Times New Roman" w:hAnsi="Times New Roman" w:cs="Times New Roman"/>
          <w:strike/>
          <w:sz w:val="20"/>
          <w:szCs w:val="20"/>
          <w:highlight w:val="yellow"/>
        </w:rPr>
        <w:t>liter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lpm—</w:t>
      </w:r>
      <w:proofErr w:type="gramEnd"/>
      <w:r w:rsidRPr="006D4EE5">
        <w:rPr>
          <w:rFonts w:ascii="Times New Roman" w:hAnsi="Times New Roman" w:cs="Times New Roman"/>
          <w:strike/>
          <w:sz w:val="20"/>
          <w:szCs w:val="20"/>
          <w:highlight w:val="yellow"/>
        </w:rPr>
        <w:t>liter per minute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lb—</w:t>
      </w:r>
      <w:proofErr w:type="gramEnd"/>
      <w:r w:rsidRPr="006D4EE5">
        <w:rPr>
          <w:rFonts w:ascii="Times New Roman" w:hAnsi="Times New Roman" w:cs="Times New Roman"/>
          <w:strike/>
          <w:sz w:val="20"/>
          <w:szCs w:val="20"/>
          <w:highlight w:val="yellow"/>
        </w:rPr>
        <w:t>pound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meq—</w:t>
      </w:r>
      <w:proofErr w:type="gramEnd"/>
      <w:r w:rsidRPr="006D4EE5">
        <w:rPr>
          <w:rFonts w:ascii="Times New Roman" w:hAnsi="Times New Roman" w:cs="Times New Roman"/>
          <w:strike/>
          <w:sz w:val="20"/>
          <w:szCs w:val="20"/>
          <w:highlight w:val="yellow"/>
        </w:rPr>
        <w:t>milliequivalent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min—</w:t>
      </w:r>
      <w:proofErr w:type="gramEnd"/>
      <w:r w:rsidRPr="006D4EE5">
        <w:rPr>
          <w:rFonts w:ascii="Times New Roman" w:hAnsi="Times New Roman" w:cs="Times New Roman"/>
          <w:strike/>
          <w:sz w:val="20"/>
          <w:szCs w:val="20"/>
          <w:highlight w:val="yellow"/>
        </w:rPr>
        <w:t>minute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ml—</w:t>
      </w:r>
      <w:proofErr w:type="gramEnd"/>
      <w:r w:rsidRPr="006D4EE5">
        <w:rPr>
          <w:rFonts w:ascii="Times New Roman" w:hAnsi="Times New Roman" w:cs="Times New Roman"/>
          <w:strike/>
          <w:sz w:val="20"/>
          <w:szCs w:val="20"/>
          <w:highlight w:val="yellow"/>
        </w:rPr>
        <w:t>milliliter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mol. wt.—molecular weight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ppb—</w:t>
      </w:r>
      <w:proofErr w:type="gramEnd"/>
      <w:r w:rsidRPr="006D4EE5">
        <w:rPr>
          <w:rFonts w:ascii="Times New Roman" w:hAnsi="Times New Roman" w:cs="Times New Roman"/>
          <w:strike/>
          <w:sz w:val="20"/>
          <w:szCs w:val="20"/>
          <w:highlight w:val="yellow"/>
        </w:rPr>
        <w:t>parts per billion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ppm—</w:t>
      </w:r>
      <w:proofErr w:type="gramEnd"/>
      <w:r w:rsidRPr="006D4EE5">
        <w:rPr>
          <w:rFonts w:ascii="Times New Roman" w:hAnsi="Times New Roman" w:cs="Times New Roman"/>
          <w:strike/>
          <w:sz w:val="20"/>
          <w:szCs w:val="20"/>
          <w:highlight w:val="yellow"/>
        </w:rPr>
        <w:t>parts per million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psia—</w:t>
      </w:r>
      <w:proofErr w:type="gramEnd"/>
      <w:r w:rsidRPr="006D4EE5">
        <w:rPr>
          <w:rFonts w:ascii="Times New Roman" w:hAnsi="Times New Roman" w:cs="Times New Roman"/>
          <w:strike/>
          <w:sz w:val="20"/>
          <w:szCs w:val="20"/>
          <w:highlight w:val="yellow"/>
        </w:rPr>
        <w:t>pounds per square inch absolute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psig—</w:t>
      </w:r>
      <w:proofErr w:type="gramEnd"/>
      <w:r w:rsidRPr="006D4EE5">
        <w:rPr>
          <w:rFonts w:ascii="Times New Roman" w:hAnsi="Times New Roman" w:cs="Times New Roman"/>
          <w:strike/>
          <w:sz w:val="20"/>
          <w:szCs w:val="20"/>
          <w:highlight w:val="yellow"/>
        </w:rPr>
        <w:t>pounds per square inch gage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°R—degree Rankine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scf—</w:t>
      </w:r>
      <w:proofErr w:type="gramEnd"/>
      <w:r w:rsidRPr="006D4EE5">
        <w:rPr>
          <w:rFonts w:ascii="Times New Roman" w:hAnsi="Times New Roman" w:cs="Times New Roman"/>
          <w:strike/>
          <w:sz w:val="20"/>
          <w:szCs w:val="20"/>
          <w:highlight w:val="yellow"/>
        </w:rPr>
        <w:t>cubic feet 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scfh—</w:t>
      </w:r>
      <w:proofErr w:type="gramEnd"/>
      <w:r w:rsidRPr="006D4EE5">
        <w:rPr>
          <w:rFonts w:ascii="Times New Roman" w:hAnsi="Times New Roman" w:cs="Times New Roman"/>
          <w:strike/>
          <w:sz w:val="20"/>
          <w:szCs w:val="20"/>
          <w:highlight w:val="yellow"/>
        </w:rPr>
        <w:t>cubic feet per hour 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scm—</w:t>
      </w:r>
      <w:proofErr w:type="gramEnd"/>
      <w:r w:rsidRPr="006D4EE5">
        <w:rPr>
          <w:rFonts w:ascii="Times New Roman" w:hAnsi="Times New Roman" w:cs="Times New Roman"/>
          <w:strike/>
          <w:sz w:val="20"/>
          <w:szCs w:val="20"/>
          <w:highlight w:val="yellow"/>
        </w:rPr>
        <w:t>cubic meter 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sec—</w:t>
      </w:r>
      <w:proofErr w:type="gramEnd"/>
      <w:r w:rsidRPr="006D4EE5">
        <w:rPr>
          <w:rFonts w:ascii="Times New Roman" w:hAnsi="Times New Roman" w:cs="Times New Roman"/>
          <w:strike/>
          <w:sz w:val="20"/>
          <w:szCs w:val="20"/>
          <w:highlight w:val="yellow"/>
        </w:rPr>
        <w:t>second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sq</w:t>
      </w:r>
      <w:proofErr w:type="gramEnd"/>
      <w:r w:rsidRPr="006D4EE5">
        <w:rPr>
          <w:rFonts w:ascii="Times New Roman" w:hAnsi="Times New Roman" w:cs="Times New Roman"/>
          <w:strike/>
          <w:sz w:val="20"/>
          <w:szCs w:val="20"/>
          <w:highlight w:val="yellow"/>
        </w:rPr>
        <w:t xml:space="preserve"> ft—square feet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std—</w:t>
      </w:r>
      <w:proofErr w:type="gramEnd"/>
      <w:r w:rsidRPr="006D4EE5">
        <w:rPr>
          <w:rFonts w:ascii="Times New Roman" w:hAnsi="Times New Roman" w:cs="Times New Roman"/>
          <w:strike/>
          <w:sz w:val="20"/>
          <w:szCs w:val="20"/>
          <w:highlight w:val="yellow"/>
        </w:rPr>
        <w:t>at standard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Chemical nomenclature: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CdS—cadmium sulfide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CO—carbon monoxide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—carbon dioxide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HCl—hydrochloric acid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Hg—mercury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O—water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S—hydrogen sulfide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SO</w:t>
      </w:r>
      <w:r w:rsidRPr="006D4EE5">
        <w:rPr>
          <w:rFonts w:ascii="Times New Roman" w:hAnsi="Times New Roman" w:cs="Times New Roman"/>
          <w:strike/>
          <w:sz w:val="20"/>
          <w:szCs w:val="20"/>
          <w:highlight w:val="yellow"/>
          <w:vertAlign w:val="subscript"/>
        </w:rPr>
        <w:t>4</w:t>
      </w:r>
      <w:r w:rsidRPr="006D4EE5">
        <w:rPr>
          <w:rFonts w:ascii="Times New Roman" w:hAnsi="Times New Roman" w:cs="Times New Roman"/>
          <w:strike/>
          <w:sz w:val="20"/>
          <w:szCs w:val="20"/>
          <w:highlight w:val="yellow"/>
        </w:rPr>
        <w:t>—sulfuric acid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—nitrogen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NO—nitric 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—nitrogen dioxide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NO</w:t>
      </w:r>
      <w:r w:rsidRPr="006D4EE5">
        <w:rPr>
          <w:rFonts w:ascii="Times New Roman" w:hAnsi="Times New Roman" w:cs="Times New Roman"/>
          <w:strike/>
          <w:sz w:val="20"/>
          <w:szCs w:val="20"/>
          <w:highlight w:val="yellow"/>
          <w:vertAlign w:val="subscript"/>
        </w:rPr>
        <w:t>X</w:t>
      </w:r>
      <w:r w:rsidRPr="006D4EE5">
        <w:rPr>
          <w:rFonts w:ascii="Times New Roman" w:hAnsi="Times New Roman" w:cs="Times New Roman"/>
          <w:strike/>
          <w:sz w:val="20"/>
          <w:szCs w:val="20"/>
          <w:highlight w:val="yellow"/>
        </w:rPr>
        <w:t>—nitrogen oxides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—oxygen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SO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—sulfur dioxide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SO</w:t>
      </w:r>
      <w:r w:rsidRPr="006D4EE5">
        <w:rPr>
          <w:rFonts w:ascii="Times New Roman" w:hAnsi="Times New Roman" w:cs="Times New Roman"/>
          <w:strike/>
          <w:sz w:val="20"/>
          <w:szCs w:val="20"/>
          <w:highlight w:val="yellow"/>
          <w:vertAlign w:val="subscript"/>
        </w:rPr>
        <w:t>3</w:t>
      </w:r>
      <w:r w:rsidRPr="006D4EE5">
        <w:rPr>
          <w:rFonts w:ascii="Times New Roman" w:hAnsi="Times New Roman" w:cs="Times New Roman"/>
          <w:strike/>
          <w:sz w:val="20"/>
          <w:szCs w:val="20"/>
          <w:highlight w:val="yellow"/>
        </w:rPr>
        <w:t>—sulfur trioxide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SO</w:t>
      </w:r>
      <w:r w:rsidRPr="006D4EE5">
        <w:rPr>
          <w:rFonts w:ascii="Times New Roman" w:hAnsi="Times New Roman" w:cs="Times New Roman"/>
          <w:strike/>
          <w:sz w:val="20"/>
          <w:szCs w:val="20"/>
          <w:highlight w:val="yellow"/>
          <w:vertAlign w:val="subscript"/>
        </w:rPr>
        <w:t>X</w:t>
      </w:r>
      <w:r w:rsidRPr="006D4EE5">
        <w:rPr>
          <w:rFonts w:ascii="Times New Roman" w:hAnsi="Times New Roman" w:cs="Times New Roman"/>
          <w:strike/>
          <w:sz w:val="20"/>
          <w:szCs w:val="20"/>
          <w:highlight w:val="yellow"/>
        </w:rPr>
        <w:t>—sulfur oxides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Miscellaneous: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A.S.T.M.—American Society for Testing and Materials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[42 FR 37000, July 19, 1977; 42 FR 38178, July 27, 1977]</w:t>
      </w:r>
    </w:p>
    <w:p w:rsidR="00EB7550" w:rsidRPr="006D4EE5" w:rsidRDefault="00EB7550" w:rsidP="00EB7550">
      <w:pPr>
        <w:pStyle w:val="Heading5"/>
        <w:spacing w:before="120"/>
        <w:rPr>
          <w:strike/>
          <w:sz w:val="20"/>
          <w:szCs w:val="20"/>
          <w:highlight w:val="yellow"/>
        </w:rPr>
      </w:pPr>
      <w:r w:rsidRPr="006D4EE5">
        <w:rPr>
          <w:strike/>
          <w:sz w:val="20"/>
          <w:szCs w:val="20"/>
          <w:highlight w:val="yellow"/>
        </w:rPr>
        <w:lastRenderedPageBreak/>
        <w:t>§ 60.4   Address.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I (Connecticut, Maine, Massachusetts, New Hampshire, Rhode Island, Vermont), Director, Air Management Division, U.S. Environmental Protection Agency, John F. Kennedy Federal Building, Boston, MA 02203.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II (New Jersey, New York, Puerto Rico, Virgin Islands), Director, Air and Waste Management Division, U.S. Environmental Protection Agency, Federal Office Building, 26 Federal Plaza (Foley Square), New York, NY 10278.</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III (Delaware, District of Columbia, Maryland, Pennsylvania, Virginia, West Virginia), Director, Air Protection Division, Mail Code 3AP00, 1650 Arch Street, Philadelphia, PA 19103–2029.</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IV (Alabama, Florida, Georgia, Kentucky, Mississippi, North Carolina, South Carolina, Tennessee), Director, Air and Waste Management Division, U.S. Environmental Protection Agency, 345 Courtland Street, NE., Atlanta, GA 30365.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V (Illinois, Indiana, Michigan, Minnesota, Ohio, Wisconsin), Director, Air and Radiation Division, U.S. Environmental Protection Agency, 77 West Jackson Boulevard, Chicago, IL 60604–3590.</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VI (Arkansas, Louisiana, New Mexico, Oklahoma, Texas); Director; Air, Pesticides, and Toxics Division; U.S. Environmental Protection Agency, 1445 Ross Avenue, Dallas, TX 75202.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VII (Iowa, Kansas, Missouri, Nebraska), Director, Air, RCRA, and Toxics Division, U.S. Environmental Protection Agency, 901 N. 5th Street, Kansas City, KS 66101.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Region VIII (Colorado, Montana, North Dakota, South Dakota, Utah, Wyoming) Director, Air and Toxics Technical Enforcement Program, Office of Enforcement, Compliance and Environmental Justice, Mail Code 8ENF–AT, 1595 </w:t>
      </w:r>
      <w:proofErr w:type="spellStart"/>
      <w:r w:rsidRPr="006D4EE5">
        <w:rPr>
          <w:rFonts w:ascii="Times New Roman" w:hAnsi="Times New Roman" w:cs="Times New Roman"/>
          <w:strike/>
          <w:sz w:val="20"/>
          <w:szCs w:val="20"/>
          <w:highlight w:val="yellow"/>
        </w:rPr>
        <w:t>Wynkoop</w:t>
      </w:r>
      <w:proofErr w:type="spellEnd"/>
      <w:r w:rsidRPr="006D4EE5">
        <w:rPr>
          <w:rFonts w:ascii="Times New Roman" w:hAnsi="Times New Roman" w:cs="Times New Roman"/>
          <w:strike/>
          <w:sz w:val="20"/>
          <w:szCs w:val="20"/>
          <w:highlight w:val="yellow"/>
        </w:rPr>
        <w:t xml:space="preserve"> Street, Denver, CO 80202–1129.</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IX (American Samoa, Arizona, California, Guam, Hawaii, Nevada, Northern Mariana Islands), Director, Air Division, U.S. Environmental Protection Agency, 75 Hawthorne Street, San Francisco, CA 94105.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Region X (Alaska, Oregon, Idaho, Washington), Director, Air and Waste Management Division, U.S. Environmental Protection Agency, 1200 Sixth Avenue, Seattle, WA 98101.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 (K) State of Florida: Florida Department of Environmental Protection, Division of Air Resources Management, 2600 Blair Stone Road, MS 5500, Tallahassee, Florida 32399–2400.</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60.5   Determination of construction or modification.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Administrator will respond to any request for a determination under paragraph (a) of this section within 30 days of receipt of such request.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FR 58418, Dec. 16, 1975]</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60.6   Review of plans.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When requested to do so by an owner or operator, the Administrator will review plans for construction or modification for the purpose of providing technical advice to the owner or operator.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(b)(1) A separate request shall be submitted for each construction or modification project.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 FR 24877, Dec. 23, 1971, as amended at 39 FR 9314, Mar. 8, 1974]</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60.7   Notification and record keeping.</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(a) Any owner or operator subject to the provisions of this part shall furnish the Administrator written notification or, if acceptable to both the Administrator and the owner or operator of a source, electronic notification,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 notification of the actual date of initial startup of an affected facility postmarked within 15 days after such date.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an</w:t>
      </w:r>
      <w:proofErr w:type="gramEnd"/>
      <w:r w:rsidRPr="006D4EE5">
        <w:rPr>
          <w:rFonts w:ascii="Times New Roman" w:hAnsi="Times New Roman" w:cs="Times New Roman"/>
          <w:strike/>
          <w:sz w:val="20"/>
          <w:szCs w:val="20"/>
          <w:highlight w:val="yellow"/>
        </w:rPr>
        <w:t xml:space="preserve">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 notification of the date upon which demonstration of the continuous monitoring system performance commences in accordance with §60.13(c). Notification shall be postmarked not less than 30 days prior to such date.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 notification of the anticipated date for conducting the opacity observations required by §60.11(e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part. The notification shall also include, if appropriate, a request for the Administrator to provide a visible emissions reader during a performance test. The notification shall be postmarked not less than 30 days prior to such date.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magnitude of excess emissions computed in accordance with §60.13(h), any conversion factor(s) used, and the date and time of commencement and completion of each time period of excess emissions. The process operating time during the reporting period.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Specific identification of each period of excess emissions that occurs during startups, shutdowns, and malfunctions of the affected facility. The nature and cause of any malfunction (if known), the corrective action taken or preventative measures adopted.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date and time identifying each period during which the continuous monitoring system was inoperative except for zero and span checks and the nature of the system repairs or adjustments.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When no excess emissions have occurred or the continuous monitoring system(s) have not been inoperative, repaired, or adjusted, such information shall be stated in the report.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(d) The summary report form shall contain the information and be in the format shown in figure 1 unless otherwise specified by the Administrator. One summary report form shall be submitted for each pollutant monitored at each affected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Figure 1—Summary Report—Gaseous and Opacity Excess Emission and Monitoring System Performance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Pollutant (Circle One—SO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/NO</w:t>
      </w:r>
      <w:r w:rsidRPr="006D4EE5">
        <w:rPr>
          <w:rFonts w:ascii="Times New Roman" w:hAnsi="Times New Roman" w:cs="Times New Roman"/>
          <w:strike/>
          <w:sz w:val="20"/>
          <w:szCs w:val="20"/>
          <w:highlight w:val="yellow"/>
          <w:vertAlign w:val="subscript"/>
        </w:rPr>
        <w:t>X</w:t>
      </w:r>
      <w:r w:rsidRPr="006D4EE5">
        <w:rPr>
          <w:rFonts w:ascii="Times New Roman" w:hAnsi="Times New Roman" w:cs="Times New Roman"/>
          <w:strike/>
          <w:sz w:val="20"/>
          <w:szCs w:val="20"/>
          <w:highlight w:val="yellow"/>
        </w:rPr>
        <w:t>/TRS/H</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S/CO/Opacity)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Reporting period dates: From _____ to 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Company:</w:t>
      </w:r>
    </w:p>
    <w:p w:rsidR="00EB7550" w:rsidRPr="006D4EE5" w:rsidRDefault="00EB7550" w:rsidP="00EB7550">
      <w:pPr>
        <w:jc w:val="both"/>
        <w:rPr>
          <w:rStyle w:val="updatebodytest1"/>
          <w:strike/>
          <w:highlight w:val="yellow"/>
        </w:rPr>
      </w:pPr>
      <w:r w:rsidRPr="006D4EE5">
        <w:rPr>
          <w:rStyle w:val="updatebodytest1"/>
          <w:strike/>
          <w:highlight w:val="yellow"/>
        </w:rPr>
        <w:t>Emission Limitation____________________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Address:</w:t>
      </w:r>
    </w:p>
    <w:p w:rsidR="00EB7550" w:rsidRPr="006D4EE5" w:rsidRDefault="00EB7550" w:rsidP="00EB7550">
      <w:pPr>
        <w:jc w:val="both"/>
        <w:rPr>
          <w:rStyle w:val="updatebodytest1"/>
          <w:strike/>
          <w:highlight w:val="yellow"/>
        </w:rPr>
      </w:pPr>
      <w:r w:rsidRPr="006D4EE5">
        <w:rPr>
          <w:rStyle w:val="updatebodytest1"/>
          <w:strike/>
          <w:highlight w:val="yellow"/>
        </w:rPr>
        <w:t>Monitor Manufacturer and Model No.____________________</w:t>
      </w:r>
      <w:r w:rsidRPr="006D4EE5">
        <w:rPr>
          <w:strike/>
          <w:highlight w:val="yellow"/>
        </w:rPr>
        <w:br/>
      </w:r>
      <w:r w:rsidRPr="006D4EE5">
        <w:rPr>
          <w:rStyle w:val="updatebodytest1"/>
          <w:strike/>
          <w:highlight w:val="yellow"/>
        </w:rPr>
        <w:t>Date of Latest CMS Certification or Audit____________________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Process Unit(s) Description:</w:t>
      </w:r>
    </w:p>
    <w:p w:rsidR="00EB7550" w:rsidRPr="006D4EE5" w:rsidRDefault="00EB7550" w:rsidP="00EB7550">
      <w:pPr>
        <w:jc w:val="both"/>
        <w:rPr>
          <w:rStyle w:val="updatebodytest1"/>
          <w:strike/>
          <w:highlight w:val="yellow"/>
        </w:rPr>
      </w:pPr>
      <w:r w:rsidRPr="006D4EE5">
        <w:rPr>
          <w:rStyle w:val="updatebodytest1"/>
          <w:strike/>
          <w:highlight w:val="yellow"/>
        </w:rPr>
        <w:t>Total source operating time in reporting period</w:t>
      </w:r>
      <w:r w:rsidRPr="006D4EE5">
        <w:rPr>
          <w:rStyle w:val="updatebodytest1"/>
          <w:strike/>
          <w:highlight w:val="yellow"/>
          <w:vertAlign w:val="superscript"/>
        </w:rPr>
        <w:t>1</w:t>
      </w:r>
      <w:r w:rsidRPr="006D4EE5">
        <w:rPr>
          <w:rStyle w:val="updatebodytest1"/>
          <w:strike/>
          <w:highlight w:val="yellow"/>
        </w:rPr>
        <w:t xml:space="preserve"> ____________________</w:t>
      </w:r>
    </w:p>
    <w:p w:rsidR="00EB7550" w:rsidRPr="006D4EE5" w:rsidRDefault="00EB7550" w:rsidP="00EB7550">
      <w:pPr>
        <w:jc w:val="both"/>
        <w:rPr>
          <w:rStyle w:val="updatebodytest1"/>
          <w:strike/>
          <w:highlight w:val="yellow"/>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70"/>
        <w:gridCol w:w="284"/>
        <w:gridCol w:w="4376"/>
        <w:gridCol w:w="284"/>
      </w:tblGrid>
      <w:tr w:rsidR="00EB7550" w:rsidRPr="006D4EE5" w:rsidTr="0031683A">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Emission data summary</w:t>
            </w:r>
            <w:r w:rsidRPr="006D4EE5">
              <w:rPr>
                <w:rFonts w:eastAsia="Calibri"/>
                <w:b/>
                <w:bCs/>
                <w:strike/>
                <w:highlight w:val="yellow"/>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CMS performance summary</w:t>
            </w:r>
            <w:r w:rsidRPr="006D4EE5">
              <w:rPr>
                <w:rFonts w:eastAsia="Calibri"/>
                <w:b/>
                <w:bCs/>
                <w:strike/>
                <w:highlight w:val="yellow"/>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  </w:t>
            </w: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EB7550" w:rsidRPr="006D4EE5" w:rsidRDefault="00EB7550" w:rsidP="0031683A">
            <w:pPr>
              <w:jc w:val="both"/>
              <w:rPr>
                <w:rFonts w:eastAsia="Calibri"/>
                <w:strike/>
                <w:highlight w:val="yellow"/>
              </w:rPr>
            </w:pPr>
            <w:r w:rsidRPr="006D4EE5">
              <w:rPr>
                <w:rFonts w:eastAsia="Calibri"/>
                <w:strike/>
                <w:highlight w:val="yellow"/>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EB7550" w:rsidRPr="006D4EE5" w:rsidRDefault="00EB7550" w:rsidP="0031683A">
            <w:pPr>
              <w:jc w:val="both"/>
              <w:rPr>
                <w:rFonts w:eastAsia="Calibri"/>
                <w:strike/>
                <w:highlight w:val="yellow"/>
              </w:rPr>
            </w:pPr>
            <w:r w:rsidRPr="006D4EE5">
              <w:rPr>
                <w:rFonts w:eastAsia="Calibri"/>
                <w:strike/>
                <w:highlight w:val="yellow"/>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EB7550" w:rsidRPr="006D4EE5" w:rsidRDefault="00EB7550" w:rsidP="0031683A">
            <w:pPr>
              <w:jc w:val="both"/>
              <w:rPr>
                <w:rFonts w:eastAsia="Calibri"/>
                <w:strike/>
                <w:highlight w:val="yellow"/>
              </w:rPr>
            </w:pPr>
            <w:r w:rsidRPr="006D4EE5">
              <w:rPr>
                <w:rFonts w:eastAsia="Calibri"/>
                <w:strike/>
                <w:highlight w:val="yellow"/>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EB7550" w:rsidRPr="006D4EE5" w:rsidRDefault="00EB7550" w:rsidP="0031683A">
            <w:pPr>
              <w:jc w:val="both"/>
              <w:rPr>
                <w:rFonts w:eastAsia="Calibri"/>
                <w:strike/>
                <w:highlight w:val="yellow"/>
              </w:rPr>
            </w:pPr>
            <w:r w:rsidRPr="006D4EE5">
              <w:rPr>
                <w:rFonts w:eastAsia="Calibri"/>
                <w:strike/>
                <w:highlight w:val="yellow"/>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EB7550" w:rsidRPr="006D4EE5" w:rsidRDefault="00EB7550" w:rsidP="0031683A">
            <w:pPr>
              <w:jc w:val="both"/>
              <w:rPr>
                <w:rFonts w:eastAsia="Calibri"/>
                <w:strike/>
                <w:highlight w:val="yellow"/>
              </w:rPr>
            </w:pPr>
            <w:r w:rsidRPr="006D4EE5">
              <w:rPr>
                <w:rFonts w:eastAsia="Calibri"/>
                <w:strike/>
                <w:highlight w:val="yellow"/>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w:t>
            </w:r>
            <w:r w:rsidRPr="006D4EE5">
              <w:rPr>
                <w:rFonts w:eastAsia="Calibri"/>
                <w:strike/>
                <w:highlight w:val="yellow"/>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w:t>
            </w:r>
            <w:r w:rsidRPr="006D4EE5">
              <w:rPr>
                <w:rFonts w:eastAsia="Calibri"/>
                <w:strike/>
                <w:highlight w:val="yellow"/>
                <w:vertAlign w:val="superscript"/>
              </w:rPr>
              <w:t>2</w:t>
            </w:r>
          </w:p>
        </w:tc>
      </w:tr>
    </w:tbl>
    <w:p w:rsidR="00EB7550" w:rsidRPr="006D4EE5" w:rsidRDefault="00EB7550" w:rsidP="00EB7550">
      <w:pPr>
        <w:pStyle w:val="tablenote"/>
        <w:spacing w:before="0" w:beforeAutospacing="0" w:after="0" w:afterAutospacing="0"/>
        <w:jc w:val="both"/>
        <w:rPr>
          <w:strike/>
          <w:sz w:val="20"/>
          <w:szCs w:val="20"/>
          <w:highlight w:val="yellow"/>
        </w:rPr>
      </w:pPr>
      <w:r w:rsidRPr="006D4EE5">
        <w:rPr>
          <w:strike/>
          <w:sz w:val="20"/>
          <w:szCs w:val="20"/>
          <w:highlight w:val="yellow"/>
          <w:vertAlign w:val="superscript"/>
        </w:rPr>
        <w:t>1</w:t>
      </w:r>
      <w:r w:rsidRPr="006D4EE5">
        <w:rPr>
          <w:strike/>
          <w:sz w:val="20"/>
          <w:szCs w:val="20"/>
          <w:highlight w:val="yellow"/>
        </w:rPr>
        <w:t>For opacity, record all times in minutes. For gases, record all times in hours.</w:t>
      </w:r>
    </w:p>
    <w:p w:rsidR="00EB7550" w:rsidRPr="006D4EE5" w:rsidRDefault="00EB7550" w:rsidP="00EB7550">
      <w:pPr>
        <w:pStyle w:val="tablenote"/>
        <w:spacing w:before="0" w:beforeAutospacing="0" w:after="0" w:afterAutospacing="0"/>
        <w:jc w:val="both"/>
        <w:rPr>
          <w:strike/>
          <w:sz w:val="20"/>
          <w:szCs w:val="20"/>
          <w:highlight w:val="yellow"/>
        </w:rPr>
      </w:pPr>
      <w:r w:rsidRPr="006D4EE5">
        <w:rPr>
          <w:strike/>
          <w:sz w:val="20"/>
          <w:szCs w:val="20"/>
          <w:highlight w:val="yellow"/>
          <w:vertAlign w:val="superscript"/>
        </w:rPr>
        <w:t>2</w:t>
      </w:r>
      <w:r w:rsidRPr="006D4EE5">
        <w:rPr>
          <w:strike/>
          <w:sz w:val="20"/>
          <w:szCs w:val="20"/>
          <w:highlight w:val="yellow"/>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On a separate page, describe any changes since last quarter in CMS, process or controls. I certify that the information contained in this report is true, accurate, and complete.</w:t>
      </w:r>
    </w:p>
    <w:p w:rsidR="00EB7550" w:rsidRPr="006D4EE5" w:rsidRDefault="00EB7550" w:rsidP="00EB7550">
      <w:pPr>
        <w:jc w:val="both"/>
        <w:rPr>
          <w:rStyle w:val="updatebodytest1"/>
          <w:strike/>
          <w:highlight w:val="yellow"/>
        </w:rPr>
      </w:pPr>
      <w:r w:rsidRPr="006D4EE5">
        <w:rPr>
          <w:rStyle w:val="updatebodytest1"/>
          <w:strike/>
          <w:highlight w:val="yellow"/>
        </w:rPr>
        <w:t>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Name</w:t>
      </w:r>
    </w:p>
    <w:p w:rsidR="00EB7550" w:rsidRPr="006D4EE5" w:rsidRDefault="00EB7550" w:rsidP="00EB7550">
      <w:pPr>
        <w:jc w:val="both"/>
        <w:rPr>
          <w:rStyle w:val="updatebodytest1"/>
          <w:strike/>
          <w:highlight w:val="yellow"/>
        </w:rPr>
      </w:pPr>
      <w:r w:rsidRPr="006D4EE5">
        <w:rPr>
          <w:rStyle w:val="updatebodytest1"/>
          <w:strike/>
          <w:highlight w:val="yellow"/>
        </w:rPr>
        <w:t>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Signature</w:t>
      </w:r>
    </w:p>
    <w:p w:rsidR="00EB7550" w:rsidRPr="006D4EE5" w:rsidRDefault="00EB7550" w:rsidP="00EB7550">
      <w:pPr>
        <w:jc w:val="both"/>
        <w:rPr>
          <w:rStyle w:val="updatebodytest1"/>
          <w:strike/>
          <w:highlight w:val="yellow"/>
        </w:rPr>
      </w:pPr>
      <w:r w:rsidRPr="006D4EE5">
        <w:rPr>
          <w:rStyle w:val="updatebodytest1"/>
          <w:strike/>
          <w:highlight w:val="yellow"/>
        </w:rPr>
        <w:t>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Title</w:t>
      </w:r>
    </w:p>
    <w:p w:rsidR="00EB7550" w:rsidRPr="006D4EE5" w:rsidRDefault="00EB7550" w:rsidP="00EB7550">
      <w:pPr>
        <w:jc w:val="both"/>
        <w:rPr>
          <w:rStyle w:val="updatebodytest1"/>
          <w:strike/>
          <w:highlight w:val="yellow"/>
        </w:rPr>
      </w:pPr>
      <w:r w:rsidRPr="006D4EE5">
        <w:rPr>
          <w:rStyle w:val="updatebodytest1"/>
          <w:strike/>
          <w:highlight w:val="yellow"/>
        </w:rPr>
        <w:t>____________________</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Date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continues to comply with all recordkeeping and monitoring requirements specified in this subpart and the applicable standard; and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Administrator does not object to a reduced frequency of reporting for the affected facility, as provided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If notification substantially similar to that in paragraph (a) of this section is required by any other State or local agency, sending the Administrator a copy of that notification will satisfy the requirements of paragraph (a)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Individual subparts of this part may include specific provisions which clarify or make inapplicable the provisions set forth in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EB7550" w:rsidRPr="006D4EE5" w:rsidRDefault="00EB7550" w:rsidP="00EB7550">
      <w:pPr>
        <w:pStyle w:val="Heading5"/>
        <w:spacing w:before="0"/>
        <w:jc w:val="both"/>
        <w:rPr>
          <w:strike/>
          <w:sz w:val="20"/>
          <w:szCs w:val="20"/>
          <w:highlight w:val="yellow"/>
        </w:rPr>
      </w:pPr>
      <w:r w:rsidRPr="006D4EE5">
        <w:rPr>
          <w:strike/>
          <w:sz w:val="20"/>
          <w:szCs w:val="20"/>
          <w:highlight w:val="yellow"/>
        </w:rPr>
        <w:t>§ 60.8   Performance tests.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Except as specified in paragraphs (a)(1),(a)(2), (a)(3), and (a)(4) of this section, within 60 days after achieving the maximum production rate at which the affected facility will be operated, but not later than 180 days after initial startup of such facility, or </w:t>
      </w:r>
      <w:r w:rsidRPr="006D4EE5">
        <w:rPr>
          <w:rFonts w:ascii="Times New Roman" w:hAnsi="Times New Roman" w:cs="Times New Roman"/>
          <w:strike/>
          <w:sz w:val="20"/>
          <w:szCs w:val="20"/>
          <w:highlight w:val="yellow"/>
        </w:rPr>
        <w:lastRenderedPageBreak/>
        <w:t>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Until an extension of the performance test deadline has been approved by the Administrator under paragraphs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(2), and (3) of this section, the owner or operator of the affected facility remains strictly subject to the requirements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owner or operator of an affected facility shall provide, or cause to be provided, performance testing facilities as follows: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Safe sampling platform(s).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Safe access to sampling platform(s).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Utilities for sampling and testing equipment.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The performance testing shall include a test method performance audit (PA) during the performance test. The PAs consist of blind audit samples supplied by an accredited audit sample provider and analyzed during the performance test in order to provide </w:t>
      </w:r>
      <w:r w:rsidRPr="006D4EE5">
        <w:rPr>
          <w:rFonts w:ascii="Times New Roman" w:hAnsi="Times New Roman" w:cs="Times New Roman"/>
          <w:strike/>
          <w:sz w:val="20"/>
          <w:szCs w:val="20"/>
          <w:highlight w:val="yellow"/>
        </w:rPr>
        <w:lastRenderedPageBreak/>
        <w:t>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the test method. For samples that exist only in a liquid or solid form at ambient temperature, the audit sample shall consist of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D4EE5">
        <w:rPr>
          <w:rFonts w:ascii="Times New Roman" w:hAnsi="Times New Roman" w:cs="Times New Roman"/>
          <w:i/>
          <w:iCs/>
          <w:strike/>
          <w:sz w:val="20"/>
          <w:szCs w:val="20"/>
          <w:highlight w:val="yellow"/>
        </w:rPr>
        <w:t xml:space="preserve">http://www.epa.gov/ttn/emc, </w:t>
      </w:r>
      <w:r w:rsidRPr="006D4EE5">
        <w:rPr>
          <w:rFonts w:ascii="Times New Roman" w:hAnsi="Times New Roman" w:cs="Times New Roman"/>
          <w:strike/>
          <w:sz w:val="20"/>
          <w:szCs w:val="20"/>
          <w:highlight w:val="yellow"/>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for all of the following operations: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Preparing the sample;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Confirming the true concentration of the sample;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Providing</w:t>
      </w:r>
      <w:proofErr w:type="gramEnd"/>
      <w:r w:rsidRPr="006D4EE5">
        <w:rPr>
          <w:rFonts w:ascii="Times New Roman" w:hAnsi="Times New Roman" w:cs="Times New Roman"/>
          <w:strike/>
          <w:sz w:val="20"/>
          <w:szCs w:val="20"/>
          <w:highlight w:val="yellow"/>
        </w:rPr>
        <w:t xml:space="preserve"> the opportunity for the compliance authority to comment on the selected concentration level for an audit sample;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Distributing the sample to the user in a manner that guarantees that the true value of the sample is unknown to the user;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Recording</w:t>
      </w:r>
      <w:proofErr w:type="gramEnd"/>
      <w:r w:rsidRPr="006D4EE5">
        <w:rPr>
          <w:rFonts w:ascii="Times New Roman" w:hAnsi="Times New Roman" w:cs="Times New Roman"/>
          <w:strike/>
          <w:sz w:val="20"/>
          <w:szCs w:val="20"/>
          <w:highlight w:val="yellow"/>
        </w:rPr>
        <w:t xml:space="preserve"> the measured concentration reported by the user and determining if the measured value is within acceptable limits;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(viii) Evaluating the acceptance limits of samples at least once every two years to determine in cooperation with the voluntary consensus standard body if they should be changed;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w:t>
      </w:r>
      <w:r w:rsidRPr="006D4EE5">
        <w:rPr>
          <w:rFonts w:ascii="Times New Roman" w:hAnsi="Times New Roman" w:cs="Times New Roman"/>
          <w:strike/>
          <w:sz w:val="20"/>
          <w:szCs w:val="20"/>
          <w:highlight w:val="yellow"/>
        </w:rPr>
        <w:lastRenderedPageBreak/>
        <w:t>sample, the true value of the audit sample, the acceptance range for the measured value, and whether the testing company passed or failed the audit.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Checking audit samples to confirm their true value as reported by the AASP;</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Performing technical systems audits of the AASP's facilities and operating procedures at least once every two years;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Providing standards for use by the voluntary consensus standard body to approve the accrediting body that will accredit the audit sample providers.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20503, by calling (202) 395–6880 or downloading online at </w:t>
      </w:r>
      <w:r w:rsidRPr="006D4EE5">
        <w:rPr>
          <w:rFonts w:ascii="Times New Roman" w:hAnsi="Times New Roman" w:cs="Times New Roman"/>
          <w:i/>
          <w:iCs/>
          <w:strike/>
          <w:sz w:val="20"/>
          <w:szCs w:val="20"/>
          <w:highlight w:val="yellow"/>
        </w:rPr>
        <w:t xml:space="preserve">http://standards.gov/standards_gov/a119.cfm. </w:t>
      </w:r>
      <w:r w:rsidRPr="006D4EE5">
        <w:rPr>
          <w:rFonts w:ascii="Times New Roman" w:hAnsi="Times New Roman" w:cs="Times New Roman"/>
          <w:strike/>
          <w:sz w:val="20"/>
          <w:szCs w:val="20"/>
          <w:highlight w:val="yellow"/>
        </w:rPr>
        <w:t>The VCSB shall approve all accrediting bodies. The Administrator will review all technical criteria documents. If the technical criteria documents do not meet the minimum technical requirements in paragraphs (g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4EE5">
        <w:rPr>
          <w:rFonts w:ascii="Times New Roman" w:hAnsi="Times New Roman" w:cs="Times New Roman"/>
          <w:i/>
          <w:iCs/>
          <w:strike/>
          <w:sz w:val="20"/>
          <w:szCs w:val="20"/>
          <w:highlight w:val="yellow"/>
        </w:rPr>
        <w:t xml:space="preserve">http://www.epa.gov/ttn/emc. </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 FR 24877, Dec. 23, 1971, as amended at 39 FR 9314, Mar. 8, 1974; 42 FR 57126, Nov. 1, 1977; 44 FR 33612, June 11, 1979; 54 FR 6662, Feb. 14, 1989; 54 FR 21344, May 17, 1989; 64 FR 7463, Feb. 12, 1999; 72 FR 27442, May 16, 2007; 75 FR 55646, Sept. 13, 2010]</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60.9   Availability of information.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60.10   State authority.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The provisions of this part shall not be construed in any manner to preclude any State or political subdivision thereof from:</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Adopting and enforcing any emission standard or limitation applicable to an affected facility, provided that such emission standard or limitation is not less stringent than the standard applicable to such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Requiring the owner or operator of an affected facility to obtain permits, licenses, or approvals prior to initiating construction, modification, or operation of such facility.</w:t>
      </w:r>
    </w:p>
    <w:p w:rsidR="00EB7550" w:rsidRPr="006D4EE5" w:rsidRDefault="00EB7550" w:rsidP="00EB7550">
      <w:pPr>
        <w:pStyle w:val="Heading5"/>
        <w:spacing w:before="0"/>
        <w:jc w:val="both"/>
        <w:rPr>
          <w:strike/>
          <w:sz w:val="20"/>
          <w:szCs w:val="20"/>
          <w:highlight w:val="yellow"/>
        </w:rPr>
      </w:pPr>
      <w:r w:rsidRPr="006D4EE5">
        <w:rPr>
          <w:strike/>
          <w:sz w:val="20"/>
          <w:szCs w:val="20"/>
          <w:highlight w:val="yellow"/>
        </w:rPr>
        <w:t>§ 60.11   Compliance with standards and maintenance requirements.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Compliance with standards in this part, other than opacity standards, shall be determined in accordance with performance tests established by §60.8, unless otherwise specified in the applicable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opacity standards set forth in this part shall apply at all times except during periods of startup, shutdown, malfunction, and as otherwise provided in the applicable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w:t>
      </w:r>
      <w:r w:rsidRPr="006D4EE5">
        <w:rPr>
          <w:rFonts w:ascii="Times New Roman" w:hAnsi="Times New Roman" w:cs="Times New Roman"/>
          <w:strike/>
          <w:sz w:val="20"/>
          <w:szCs w:val="20"/>
          <w:highlight w:val="yellow"/>
        </w:rPr>
        <w:lastRenderedPageBreak/>
        <w:t>Administrator required in §60.7(a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6D4EE5">
        <w:rPr>
          <w:rFonts w:ascii="Times New Roman" w:hAnsi="Times New Roman" w:cs="Times New Roman"/>
          <w:strike/>
          <w:sz w:val="20"/>
          <w:szCs w:val="20"/>
          <w:highlight w:val="yellow"/>
        </w:rPr>
        <w:t>determing</w:t>
      </w:r>
      <w:proofErr w:type="spellEnd"/>
      <w:r w:rsidRPr="006D4EE5">
        <w:rPr>
          <w:rFonts w:ascii="Times New Roman" w:hAnsi="Times New Roman" w:cs="Times New Roman"/>
          <w:strike/>
          <w:sz w:val="20"/>
          <w:szCs w:val="20"/>
          <w:highlight w:val="yellow"/>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as provided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 If, for some reason, the Administrator cannot determine and record the opacity of emissions from the affected facility during the performance test, then the provisions of paragraph (e)(1) of this section shall apply.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Upon receipt from an owner or operator of the written reports of the results of the performance tests required by §60.8, the opacity observation results and observer certification required by §60.11(e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Register.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Special provisions set forth under an applicable subpart shall supersede any conflicting provisions in paragraphs (a) through (e)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[38 FR 28565, Oct. 15, 1973, as amended at 39 FR 39873, Nov. 12, 1974; 43 FR 8800, Mar. 3, 1978; 45 FR 23379, Apr. 4, 1980; 48 FR 48335, Oct. 18, 1983; 50 FR 53113, Dec. 27, 1985; 51 FR 1790, Jan. 15, 1986; 52 FR 9781, Mar. 26, 1987; 62 FR 8328, Feb. 24, 1997; 65 FR 61749, Oct. 17, 2000]</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60.12   Circumvention.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a</w:t>
      </w:r>
      <w:proofErr w:type="gramEnd"/>
      <w:r w:rsidRPr="006D4EE5">
        <w:rPr>
          <w:rFonts w:ascii="Times New Roman" w:hAnsi="Times New Roman" w:cs="Times New Roman"/>
          <w:strike/>
          <w:sz w:val="20"/>
          <w:szCs w:val="20"/>
          <w:highlight w:val="yellow"/>
        </w:rPr>
        <w:t xml:space="preserve"> standard which is based on the concentration of a pollutant in the gases discharged to the atmosphere.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[39 FR 9314, Mar. 8, 1974]</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60.13   Monitoring requirements.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If the owner or operator of an affected facility elects to submit </w:t>
      </w:r>
      <w:proofErr w:type="spellStart"/>
      <w:r w:rsidRPr="006D4EE5">
        <w:rPr>
          <w:rFonts w:ascii="Times New Roman" w:hAnsi="Times New Roman" w:cs="Times New Roman"/>
          <w:strike/>
          <w:sz w:val="20"/>
          <w:szCs w:val="20"/>
          <w:highlight w:val="yellow"/>
        </w:rPr>
        <w:t>continous</w:t>
      </w:r>
      <w:proofErr w:type="spellEnd"/>
      <w:r w:rsidRPr="006D4EE5">
        <w:rPr>
          <w:rFonts w:ascii="Times New Roman" w:hAnsi="Times New Roman" w:cs="Times New Roman"/>
          <w:strike/>
          <w:sz w:val="20"/>
          <w:szCs w:val="20"/>
          <w:highlight w:val="yellow"/>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owner or operator of an affected facility using a COMS to determine opacity compliance during any performance test required under §60.8 and as described in §60.11(e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All continuous monitoring systems referenced by paragraph (c) of this section for measuring emissions, except opacity, shall complete a minimum of one cycle of operation (sampling, analyzing, and data recording) for each successive 15-minute period.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Except as provided under paragraph (h)(2)(iii) of this section, for a full operating hour (any clock hour with 60 minutes of unit operation), at least four valid data points are required to calculate the hourly average, </w:t>
      </w:r>
      <w:r w:rsidRPr="006D4EE5">
        <w:rPr>
          <w:rFonts w:ascii="Times New Roman" w:hAnsi="Times New Roman" w:cs="Times New Roman"/>
          <w:i/>
          <w:iCs/>
          <w:strike/>
          <w:sz w:val="20"/>
          <w:szCs w:val="20"/>
          <w:highlight w:val="yellow"/>
        </w:rPr>
        <w:t xml:space="preserve">i.e. </w:t>
      </w:r>
      <w:r w:rsidRPr="006D4EE5">
        <w:rPr>
          <w:rFonts w:ascii="Times New Roman" w:hAnsi="Times New Roman" w:cs="Times New Roman"/>
          <w:strike/>
          <w:sz w:val="20"/>
          <w:szCs w:val="20"/>
          <w:highlight w:val="yellow"/>
        </w:rPr>
        <w:t>, one data point in each of the 15-minute quadrants of the hour.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For any operating hour in which required maintenance or quality-assurance activities are performed: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the unit operates in two or more quadrants of the hour, a minimum of two valid data points, separated by at least 15 minutes, is required to calculate the hourly average; or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the unit operates in only one quadrant of the hour, at least one valid data point is required to calculate the hourly average.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For each full or partial operating hour, all valid data points shall be used to calculate the hourly average.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Owners and operators complying with the requirements of §60.7(f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or (2) must include any data recorded during periods of monitor breakdown or malfunction in the data averages.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(viii) When specified in an applicable subpart, hourly averages for certain partial operating hours shall not be computed or included in the emission averages ( </w:t>
      </w:r>
      <w:r w:rsidRPr="006D4EE5">
        <w:rPr>
          <w:rFonts w:ascii="Times New Roman" w:hAnsi="Times New Roman" w:cs="Times New Roman"/>
          <w:i/>
          <w:iCs/>
          <w:strike/>
          <w:sz w:val="20"/>
          <w:szCs w:val="20"/>
          <w:highlight w:val="yellow"/>
        </w:rPr>
        <w:t xml:space="preserve">e.g. </w:t>
      </w:r>
      <w:r w:rsidRPr="006D4EE5">
        <w:rPr>
          <w:rFonts w:ascii="Times New Roman" w:hAnsi="Times New Roman" w:cs="Times New Roman"/>
          <w:strike/>
          <w:sz w:val="20"/>
          <w:szCs w:val="20"/>
          <w:highlight w:val="yellow"/>
        </w:rPr>
        <w:t>hours with &lt; 30 minutes of unit operation under §60.47b(d)).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(ix) Either arithmetic or integrated averaging of all data may be used to calculate the hourly averages. The data may be recorded in reduced or nonreduced form </w:t>
      </w: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e.g</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ppm pollutant and percent 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or ng/J of pollutant).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After receipt and consideration of written application, the Administrator may approve alternatives to any monitoring procedures or requirements of this part including, but not limited to the following:</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Alternative monitoring requirements when the affected facility is infrequently operated.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Alternative monitoring requirements to accommodate continuous monitoring systems that require additional measurements to correct for stack moisture conditions.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Alternative locations for installing continuous monitoring systems or monitoring devices when the owner or operator can demonstrate that installation at alternate locations will enable accurate and representative measurements.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Alternative methods of converting pollutant concentration measurements to units of the standards.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Alternative procedures for performing daily checks of zero and span drift that do not involve use of span gases or test cells.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Alternatives to the A.S.T.M. test methods or sampling procedures specified by any subpart.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 Alternative monitoring requirements when the effluent from a single affected facility or the combined effluent from two or more affected facilities is released to the atmosphere through more than one point.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(j) An alternative to the relative accuracy (RA) test specified in Performance Specification 2 of appendix B may be requested as follows: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lastRenderedPageBreak/>
        <w:t>Editorial Note:</w:t>
      </w:r>
      <w:r w:rsidRPr="006D4EE5">
        <w:rPr>
          <w:rFonts w:ascii="Times New Roman" w:hAnsi="Times New Roman" w:cs="Times New Roman"/>
          <w:strike/>
          <w:sz w:val="20"/>
          <w:szCs w:val="20"/>
          <w:highlight w:val="yellow"/>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EB7550" w:rsidRPr="006D4EE5" w:rsidRDefault="00EB7550" w:rsidP="00EB7550">
      <w:pPr>
        <w:pStyle w:val="Heading5"/>
        <w:spacing w:before="120"/>
        <w:rPr>
          <w:strike/>
          <w:sz w:val="20"/>
          <w:szCs w:val="20"/>
          <w:highlight w:val="yellow"/>
        </w:rPr>
      </w:pPr>
      <w:r w:rsidRPr="006D4EE5">
        <w:rPr>
          <w:strike/>
          <w:sz w:val="20"/>
          <w:szCs w:val="20"/>
          <w:highlight w:val="yellow"/>
        </w:rPr>
        <w:t>§ 60.14   Modification.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Emission rate shall be expressed as kg/hr of any pollutant discharged into the atmosphere for which a standard is applicable. The Administrator shall use the following to determine emission rate: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addition of an affected facility to a stationary source as an expansion to that source or as a replacement for an existing facility shall not by itself bring within the applicability of this part any other facility within that source.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[Reserved]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following shall not, by themselves, be considered modifications under this 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Maintenance, repair, and replacement which the Administrator determines to be routine for a source category, subject to the provisions of paragraph (c) of this section and §60.15.</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 increase in production rate of an existing facility, if that increase can be accomplished without a capital expenditure on that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An increase in the hours of operation.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8) of the Act, shall not be considered a modification.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relocation or change in ownership of an existing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Special provisions set forth under an applicable subpart of this part shall supersede any conflicting provisions of this section.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Within 180 days of the completion of any physical or operational change subject to the control measures specified in paragraph (a) of this section, compliance with all applicable standards must be achieved.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exemption shall not apply to any new unit that: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Is designated as a replacement for an existing unit;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Qualifies under section 409(b) of the Clean Air Act for an extension of an emission limitation compliance date under section 405 of the Clean Air Act; and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iii</w:t>
      </w:r>
      <w:proofErr w:type="gramEnd"/>
      <w:r w:rsidRPr="006D4EE5">
        <w:rPr>
          <w:rFonts w:ascii="Times New Roman" w:hAnsi="Times New Roman" w:cs="Times New Roman"/>
          <w:strike/>
          <w:sz w:val="20"/>
          <w:szCs w:val="20"/>
          <w:highlight w:val="yellow"/>
        </w:rPr>
        <w:t>) Is located at a different site than the existing unit.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(k) The installation, operation, cessation, or removal of a temporary clean coal technology demonstration project is exempt from the requirements of this section. A </w:t>
      </w:r>
      <w:r w:rsidRPr="006D4EE5">
        <w:rPr>
          <w:rFonts w:ascii="Times New Roman" w:hAnsi="Times New Roman" w:cs="Times New Roman"/>
          <w:i/>
          <w:iCs/>
          <w:strike/>
          <w:sz w:val="20"/>
          <w:szCs w:val="20"/>
          <w:highlight w:val="yellow"/>
        </w:rPr>
        <w:t xml:space="preserve">temporary clean coal control technology demonstration project, </w:t>
      </w:r>
      <w:r w:rsidRPr="006D4EE5">
        <w:rPr>
          <w:rFonts w:ascii="Times New Roman" w:hAnsi="Times New Roman" w:cs="Times New Roman"/>
          <w:strike/>
          <w:sz w:val="20"/>
          <w:szCs w:val="20"/>
          <w:highlight w:val="yellow"/>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 The reactivation of a very clean coal-fired electric utility steam generating unit is exempt from the requirements of this section.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FR 58419, Dec. 16, 1975, as amended at 43 FR 34347, Aug. 3, 1978; 45 FR 5617, Jan. 23, 1980; 57 FR 32339, July 21, 1992; 65 FR 61750, Oct. 17, 2000]</w:t>
      </w:r>
    </w:p>
    <w:p w:rsidR="00EB7550" w:rsidRPr="006D4EE5" w:rsidRDefault="00EB7550" w:rsidP="00EB7550">
      <w:pPr>
        <w:pStyle w:val="Heading5"/>
        <w:spacing w:before="120"/>
        <w:rPr>
          <w:strike/>
          <w:sz w:val="20"/>
          <w:szCs w:val="20"/>
          <w:highlight w:val="yellow"/>
        </w:rPr>
      </w:pPr>
      <w:r w:rsidRPr="006D4EE5">
        <w:rPr>
          <w:strike/>
          <w:sz w:val="20"/>
          <w:szCs w:val="20"/>
          <w:highlight w:val="yellow"/>
        </w:rPr>
        <w:t>§ 60.15   Reconstruction.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An existing facility, upon reconstruction, becomes an affected facility, irrespective of any change in emission rate.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“Reconstruction” means the replacement of components of an existing facility to such an extent that: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fixed capital cost of the new components exceeds 50 percent of the fixed capital cost that would be required to construct a comparable entirely new facility, and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It is technologically and economically feasible to meet the applicable standards set forth in this 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“Fixed capital cost” means the capital needed to provide all the depreciable components.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Name and address of the owner or operator.</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location of the existing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 brief description of the existing facility and the components which are to be replaced.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 description of the existing air pollution control equipment and the proposed air pollution control equipment.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An estimate of the fixed capital cost of the replacements and of constructing a comparable entirely new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estimated life of the existing facility after the replacements.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 discussion of any economic or technical limitations the facility may have in complying with the applicable standards of performance after the proposed replacements.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Administrator will determine, within 30 days of the receipt of the notice required by paragraph (d) of this section and any additional information he may reasonably require, whether the proposed replacement constitutes reconstruction.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The Administrator's determination under paragraph (e) shall be based 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fixed capital cost of the replacements in comparison to the fixed capital cost that would be required to construct a comparable entirely new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estimated life of the facility after the replacements compared to the life of a comparable entirely new facility;</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extent to which the components being replaced cause or contribute to the emissions from the facility; and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Any economic or technical limitations on compliance with applicable standards of performance which are inherent in the proposed replacements.</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Individual subparts of this part may include specific provisions which refine and delimit the concept of reconstruction set forth in this section.</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FR 58420, Dec. 16, 1975]</w:t>
      </w:r>
    </w:p>
    <w:p w:rsidR="00EB7550" w:rsidRPr="006D4EE5" w:rsidRDefault="00EB7550" w:rsidP="00EB7550">
      <w:pPr>
        <w:pStyle w:val="Heading5"/>
        <w:spacing w:before="120"/>
        <w:rPr>
          <w:strike/>
          <w:sz w:val="20"/>
          <w:szCs w:val="20"/>
          <w:highlight w:val="yellow"/>
        </w:rPr>
      </w:pPr>
      <w:r w:rsidRPr="006D4EE5">
        <w:rPr>
          <w:strike/>
          <w:sz w:val="20"/>
          <w:szCs w:val="20"/>
          <w:highlight w:val="yellow"/>
        </w:rPr>
        <w:t>§ 60.16   Priority list.</w:t>
      </w:r>
    </w:p>
    <w:p w:rsidR="00EB7550" w:rsidRPr="006D4EE5" w:rsidRDefault="00EB7550" w:rsidP="00EB7550">
      <w:pPr>
        <w:pStyle w:val="tabletitle"/>
        <w:spacing w:before="0" w:beforeAutospacing="0" w:after="0" w:afterAutospacing="0"/>
        <w:rPr>
          <w:strike/>
          <w:sz w:val="20"/>
          <w:szCs w:val="20"/>
          <w:highlight w:val="yellow"/>
        </w:rPr>
      </w:pPr>
      <w:r w:rsidRPr="006D4EE5">
        <w:rPr>
          <w:strike/>
          <w:sz w:val="20"/>
          <w:szCs w:val="20"/>
          <w:highlight w:val="yellow"/>
        </w:rPr>
        <w:t>Prioritized Major Source Categories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28"/>
        <w:gridCol w:w="8786"/>
      </w:tblGrid>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center"/>
              <w:rPr>
                <w:rFonts w:eastAsia="Calibri"/>
                <w:b/>
                <w:bCs/>
                <w:strike/>
                <w:highlight w:val="yellow"/>
              </w:rPr>
            </w:pPr>
            <w:r w:rsidRPr="006D4EE5">
              <w:rPr>
                <w:rStyle w:val="Emphasis"/>
                <w:rFonts w:eastAsia="Calibri"/>
                <w:b/>
                <w:bCs/>
                <w:strike/>
                <w:highlight w:val="yellow"/>
              </w:rPr>
              <w:t>Priority Number</w:t>
            </w:r>
            <w:r w:rsidRPr="006D4EE5">
              <w:rPr>
                <w:rFonts w:eastAsia="Calibri"/>
                <w:b/>
                <w:bCs/>
                <w:strike/>
                <w:highlight w:val="yellow"/>
              </w:rPr>
              <w:t xml:space="preserve"> </w:t>
            </w:r>
            <w:r w:rsidRPr="006D4EE5">
              <w:rPr>
                <w:rFonts w:eastAsia="Calibri"/>
                <w:b/>
                <w:bCs/>
                <w:strike/>
                <w:highlight w:val="yellow"/>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center"/>
              <w:rPr>
                <w:rFonts w:eastAsia="Calibri"/>
                <w:b/>
                <w:bCs/>
                <w:strike/>
                <w:highlight w:val="yellow"/>
              </w:rPr>
            </w:pPr>
            <w:r w:rsidRPr="006D4EE5">
              <w:rPr>
                <w:rStyle w:val="Emphasis"/>
                <w:rFonts w:eastAsia="Calibri"/>
                <w:b/>
                <w:bCs/>
                <w:strike/>
                <w:highlight w:val="yellow"/>
              </w:rPr>
              <w:t>Source Category</w:t>
            </w:r>
            <w:r w:rsidRPr="006D4EE5">
              <w:rPr>
                <w:rFonts w:eastAsia="Calibri"/>
                <w:b/>
                <w:bCs/>
                <w:strike/>
                <w:highlight w:val="yellow"/>
              </w:rPr>
              <w:t xml:space="preserve"> </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Synthetic Organic Chemical Manufacturing Industry (SOCMI) and Volatile Organic Liquid Storage Vessels and Handling Equipment</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 SOCMI unit processes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 Volatile organic liquid (VOL) storage vessels and handling equipment</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(c) SOCMI fugitive sources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(d) SOCMI secondary sources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Cans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Petroleum Refineries: Fugitive Sources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Paper</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Dry Cleaning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 Perchloroethylene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 Petroleum solvent</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Graphic Arts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Acrylic Resins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Mineral Wool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Stationary Internal Combustion Engines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10.</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Fabric</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Industrial-Commercial-Institutional Steam Generating Units.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Incineration: Non-Municipal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Non-Metallic Mineral Processing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Metallic Mineral Processing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Secondary Copper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Phosphate Rock Preparation</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Foundries: Steel and Gray Iron</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Polyethylene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19.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Charcoal Production</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20.</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Synthetic Rubber</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 Tire manufacture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 SBR production</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Vegetable Oil</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lastRenderedPageBreak/>
              <w:t>22.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Metal Coil</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Petroleum Transportation and Marketing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By-Product Coke Ovens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Synthetic Fibers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Plywood Manufacture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Automobiles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Large Appliances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29.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Crude Oil and Natural Gas Production</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30.</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Secondary Aluminum</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Potash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Lightweight Aggregate Industry: Clay, Shale, and Slate</w:t>
            </w:r>
            <w:r w:rsidRPr="006D4EE5">
              <w:rPr>
                <w:rFonts w:eastAsia="Calibri"/>
                <w:strike/>
                <w:highlight w:val="yellow"/>
                <w:vertAlign w:val="superscript"/>
              </w:rPr>
              <w:t>2</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Glass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Gypsum</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Sodium Carbonate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Secondary Zinc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Phenolic</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Urea-Melamine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39.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Ammonia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40.</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Polystyrene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ABS-SAN Resins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Fiberglass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Polypropylene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Textile Processing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Asphalt Processing and Asphalt Roofing Manufacture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Brick and Related Clay Products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Ceramic Clay Manufacturing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Ammonium Nitrate Fertilizer</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49.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proofErr w:type="spellStart"/>
            <w:r w:rsidRPr="006D4EE5">
              <w:rPr>
                <w:rFonts w:eastAsia="Calibri"/>
                <w:strike/>
                <w:highlight w:val="yellow"/>
              </w:rPr>
              <w:t>Castable</w:t>
            </w:r>
            <w:proofErr w:type="spellEnd"/>
            <w:r w:rsidRPr="006D4EE5">
              <w:rPr>
                <w:rFonts w:eastAsia="Calibri"/>
                <w:strike/>
                <w:highlight w:val="yellow"/>
              </w:rPr>
              <w:t xml:space="preserve"> Refractories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50.</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Borax and Boric Acid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51.</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Polymers and Resins: Polyester Resins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lastRenderedPageBreak/>
              <w:t>52.</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Ammonium Sulfate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53.</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Starch</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54.</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Perlite</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55.</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Phosphoric Acid: Thermal Process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56.</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Uranium Refining</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57.</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 xml:space="preserve">Animal Feed </w:t>
            </w:r>
            <w:proofErr w:type="spellStart"/>
            <w:r w:rsidRPr="006D4EE5">
              <w:rPr>
                <w:rFonts w:eastAsia="Calibri"/>
                <w:strike/>
                <w:highlight w:val="yellow"/>
              </w:rPr>
              <w:t>Defluorination</w:t>
            </w:r>
            <w:proofErr w:type="spellEnd"/>
            <w:r w:rsidRPr="006D4EE5">
              <w:rPr>
                <w:rFonts w:eastAsia="Calibri"/>
                <w:strike/>
                <w:highlight w:val="yellow"/>
              </w:rPr>
              <w:t xml:space="preserve"> (Deleted)</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58.</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Urea (for fertilizer and polymers)</w:t>
            </w:r>
          </w:p>
        </w:tc>
      </w:tr>
      <w:tr w:rsidR="00EB7550" w:rsidRPr="006D4EE5" w:rsidTr="0031683A">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59.</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Detergent (Deleted)</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center"/>
              <w:rPr>
                <w:rFonts w:eastAsia="Calibri"/>
                <w:strike/>
                <w:highlight w:val="yellow"/>
              </w:rPr>
            </w:pPr>
            <w:r w:rsidRPr="006D4EE5">
              <w:rPr>
                <w:rStyle w:val="Emphasis"/>
                <w:rFonts w:eastAsia="Calibri"/>
                <w:strike/>
                <w:highlight w:val="yellow"/>
              </w:rPr>
              <w:t>Other Source Categories</w:t>
            </w:r>
            <w:r w:rsidRPr="006D4EE5">
              <w:rPr>
                <w:rFonts w:eastAsia="Calibri"/>
                <w:strike/>
                <w:highlight w:val="yellow"/>
              </w:rPr>
              <w:t xml:space="preserve"> </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Lead acid battery manufacture</w:t>
            </w:r>
            <w:r w:rsidRPr="006D4EE5">
              <w:rPr>
                <w:rFonts w:eastAsia="Calibri"/>
                <w:strike/>
                <w:highlight w:val="yellow"/>
                <w:vertAlign w:val="superscript"/>
              </w:rPr>
              <w:t>3</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Organic solvent cleaning</w:t>
            </w:r>
            <w:r w:rsidRPr="006D4EE5">
              <w:rPr>
                <w:rFonts w:eastAsia="Calibri"/>
                <w:strike/>
                <w:highlight w:val="yellow"/>
                <w:vertAlign w:val="superscript"/>
              </w:rPr>
              <w:t>3</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Industrial surface coating: metal furniture</w:t>
            </w:r>
            <w:r w:rsidRPr="006D4EE5">
              <w:rPr>
                <w:rFonts w:eastAsia="Calibri"/>
                <w:strike/>
                <w:highlight w:val="yellow"/>
                <w:vertAlign w:val="superscript"/>
              </w:rPr>
              <w:t>3</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Stationary gas turbines</w:t>
            </w:r>
            <w:r w:rsidRPr="006D4EE5">
              <w:rPr>
                <w:rFonts w:eastAsia="Calibri"/>
                <w:strike/>
                <w:highlight w:val="yellow"/>
                <w:vertAlign w:val="superscript"/>
              </w:rPr>
              <w:t>4</w:t>
            </w:r>
          </w:p>
        </w:tc>
      </w:tr>
      <w:tr w:rsidR="00EB7550" w:rsidRPr="006D4EE5" w:rsidTr="0031683A">
        <w:trPr>
          <w:tblCellSpacing w:w="7" w:type="dxa"/>
        </w:trPr>
        <w:tc>
          <w:tcPr>
            <w:tcW w:w="0" w:type="auto"/>
            <w:gridSpan w:val="2"/>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rPr>
                <w:rFonts w:eastAsia="Calibri"/>
                <w:strike/>
                <w:highlight w:val="yellow"/>
              </w:rPr>
            </w:pPr>
            <w:r w:rsidRPr="006D4EE5">
              <w:rPr>
                <w:rFonts w:eastAsia="Calibri"/>
                <w:strike/>
                <w:highlight w:val="yellow"/>
              </w:rPr>
              <w:t>Municipal solid waste landfills</w:t>
            </w:r>
            <w:r w:rsidRPr="006D4EE5">
              <w:rPr>
                <w:rFonts w:eastAsia="Calibri"/>
                <w:strike/>
                <w:highlight w:val="yellow"/>
                <w:vertAlign w:val="superscript"/>
              </w:rPr>
              <w:t>4</w:t>
            </w:r>
          </w:p>
        </w:tc>
      </w:tr>
    </w:tbl>
    <w:p w:rsidR="00EB7550" w:rsidRPr="006D4EE5" w:rsidRDefault="00EB7550" w:rsidP="00EB7550">
      <w:pPr>
        <w:pStyle w:val="tablenote"/>
        <w:spacing w:before="0" w:beforeAutospacing="0" w:after="0" w:afterAutospacing="0"/>
        <w:rPr>
          <w:strike/>
          <w:sz w:val="20"/>
          <w:szCs w:val="20"/>
          <w:highlight w:val="yellow"/>
        </w:rPr>
      </w:pPr>
      <w:r w:rsidRPr="006D4EE5">
        <w:rPr>
          <w:strike/>
          <w:sz w:val="20"/>
          <w:szCs w:val="20"/>
          <w:highlight w:val="yellow"/>
          <w:vertAlign w:val="superscript"/>
        </w:rPr>
        <w:t>1</w:t>
      </w:r>
      <w:r w:rsidRPr="006D4EE5">
        <w:rPr>
          <w:strike/>
          <w:sz w:val="20"/>
          <w:szCs w:val="20"/>
          <w:highlight w:val="yellow"/>
        </w:rPr>
        <w:t xml:space="preserve">Low numbers have highest priority, e.g., No. 1 is high priority, </w:t>
      </w:r>
      <w:proofErr w:type="gramStart"/>
      <w:r w:rsidRPr="006D4EE5">
        <w:rPr>
          <w:strike/>
          <w:sz w:val="20"/>
          <w:szCs w:val="20"/>
          <w:highlight w:val="yellow"/>
        </w:rPr>
        <w:t>No</w:t>
      </w:r>
      <w:proofErr w:type="gramEnd"/>
      <w:r w:rsidRPr="006D4EE5">
        <w:rPr>
          <w:strike/>
          <w:sz w:val="20"/>
          <w:szCs w:val="20"/>
          <w:highlight w:val="yellow"/>
        </w:rPr>
        <w:t>. 59 is low priority.</w:t>
      </w:r>
    </w:p>
    <w:p w:rsidR="00EB7550" w:rsidRPr="006D4EE5" w:rsidRDefault="00EB7550" w:rsidP="00EB7550">
      <w:pPr>
        <w:pStyle w:val="tablenote"/>
        <w:spacing w:before="0" w:beforeAutospacing="0" w:after="0" w:afterAutospacing="0"/>
        <w:rPr>
          <w:strike/>
          <w:sz w:val="20"/>
          <w:szCs w:val="20"/>
          <w:highlight w:val="yellow"/>
        </w:rPr>
      </w:pPr>
      <w:r w:rsidRPr="006D4EE5">
        <w:rPr>
          <w:strike/>
          <w:sz w:val="20"/>
          <w:szCs w:val="20"/>
          <w:highlight w:val="yellow"/>
          <w:vertAlign w:val="superscript"/>
        </w:rPr>
        <w:t>2</w:t>
      </w:r>
      <w:r w:rsidRPr="006D4EE5">
        <w:rPr>
          <w:strike/>
          <w:sz w:val="20"/>
          <w:szCs w:val="20"/>
          <w:highlight w:val="yellow"/>
        </w:rPr>
        <w:t>Formerly titled “Sintering: Clay and Fly Ash”.</w:t>
      </w:r>
    </w:p>
    <w:p w:rsidR="00EB7550" w:rsidRPr="006D4EE5" w:rsidRDefault="00EB7550" w:rsidP="00EB7550">
      <w:pPr>
        <w:pStyle w:val="tablenote"/>
        <w:spacing w:before="0" w:beforeAutospacing="0" w:after="0" w:afterAutospacing="0"/>
        <w:rPr>
          <w:strike/>
          <w:sz w:val="20"/>
          <w:szCs w:val="20"/>
          <w:highlight w:val="yellow"/>
        </w:rPr>
      </w:pPr>
      <w:r w:rsidRPr="006D4EE5">
        <w:rPr>
          <w:strike/>
          <w:sz w:val="20"/>
          <w:szCs w:val="20"/>
          <w:highlight w:val="yellow"/>
          <w:vertAlign w:val="superscript"/>
        </w:rPr>
        <w:t>3</w:t>
      </w:r>
      <w:r w:rsidRPr="006D4EE5">
        <w:rPr>
          <w:strike/>
          <w:sz w:val="20"/>
          <w:szCs w:val="20"/>
          <w:highlight w:val="yellow"/>
        </w:rPr>
        <w:t>Minor source category, but included on list since an NSPS is being developed for that source category.</w:t>
      </w:r>
    </w:p>
    <w:p w:rsidR="00EB7550" w:rsidRPr="006D4EE5" w:rsidRDefault="00EB7550" w:rsidP="00EB7550">
      <w:pPr>
        <w:pStyle w:val="tablenote"/>
        <w:spacing w:before="0" w:beforeAutospacing="0" w:after="0" w:afterAutospacing="0"/>
        <w:rPr>
          <w:strike/>
          <w:sz w:val="20"/>
          <w:szCs w:val="20"/>
          <w:highlight w:val="yellow"/>
        </w:rPr>
      </w:pPr>
      <w:r w:rsidRPr="006D4EE5">
        <w:rPr>
          <w:strike/>
          <w:sz w:val="20"/>
          <w:szCs w:val="20"/>
          <w:highlight w:val="yellow"/>
          <w:vertAlign w:val="superscript"/>
        </w:rPr>
        <w:t>4</w:t>
      </w:r>
      <w:r w:rsidRPr="006D4EE5">
        <w:rPr>
          <w:strike/>
          <w:sz w:val="20"/>
          <w:szCs w:val="20"/>
          <w:highlight w:val="yellow"/>
        </w:rPr>
        <w:t>Not prioritized, since an NSPS for this major source category has already been promulgated.</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[47 FR 951, Jan. 8, 1982, as amended at 47 FR 31876, July 23, 1982; 51 FR 42796, Nov. 25, 1986; 52 FR 11428, Apr. 8, 1987; 61 FR 9919, Mar. 12, 1996]</w:t>
      </w:r>
    </w:p>
    <w:p w:rsidR="00EB7550" w:rsidRPr="006D4EE5" w:rsidRDefault="00EB7550" w:rsidP="00EB7550">
      <w:pPr>
        <w:pStyle w:val="Heading5"/>
        <w:spacing w:before="0"/>
        <w:rPr>
          <w:strike/>
          <w:sz w:val="20"/>
          <w:szCs w:val="20"/>
          <w:highlight w:val="yellow"/>
        </w:rPr>
      </w:pPr>
      <w:r w:rsidRPr="006D4EE5">
        <w:rPr>
          <w:strike/>
          <w:sz w:val="20"/>
          <w:szCs w:val="20"/>
          <w:highlight w:val="yellow"/>
        </w:rPr>
        <w:t>§ 60.17   Incorporations by reference.</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hyperlink r:id="rId30" w:history="1">
        <w:r w:rsidRPr="006D4EE5">
          <w:rPr>
            <w:rStyle w:val="Hyperlink"/>
            <w:rFonts w:ascii="Times New Roman" w:hAnsi="Times New Roman" w:cs="Times New Roman"/>
            <w:strike/>
            <w:sz w:val="20"/>
            <w:szCs w:val="20"/>
            <w:highlight w:val="yellow"/>
          </w:rPr>
          <w:t>Link to an amendment published at 75 FR 55034, Sept. 9, 2010.</w:t>
        </w:r>
      </w:hyperlink>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Register.The</w:t>
      </w:r>
      <w:proofErr w:type="spellEnd"/>
      <w:r w:rsidRPr="006D4EE5">
        <w:rPr>
          <w:rFonts w:ascii="Times New Roman" w:hAnsi="Times New Roman" w:cs="Times New Roman"/>
          <w:strike/>
          <w:sz w:val="20"/>
          <w:szCs w:val="20"/>
          <w:highlight w:val="yellow"/>
        </w:rPr>
        <w:t xml:space="preserv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6D4EE5">
        <w:rPr>
          <w:rFonts w:ascii="Times New Roman" w:hAnsi="Times New Roman" w:cs="Times New Roman"/>
          <w:i/>
          <w:iCs/>
          <w:strike/>
          <w:sz w:val="20"/>
          <w:szCs w:val="20"/>
          <w:highlight w:val="yellow"/>
        </w:rPr>
        <w:t xml:space="preserve">http://www.archives.gov/federal_register/code_of_federal_regulations/ibr_locations.html. </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ASTM A99–76, 82 (Reapproved 1987), Standard Specification for Ferromanganese, incorporation by reference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ASTM A100–69, 74, 93, Standard Specification for Ferrosilicon,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ASTM A101–73, 93, Standard Specification for Ferrochromium,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ASTM A482–76, 93, Standard Specification for Ferrochromesilicon,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ASTM A483–64, 74 (Reapproved 1988), Standard Specification for Silicomanganese,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ASTM A495–76, 94, Standard Specification for Calcium-Silicon and Calcium Manganese-Silicon, IBR approved for §60.261.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(7) ASTM D86–78, 82, 90, 93, 95, 96, Distillation of Petroleum Products, IBR approved for §§60.562–2(d), 60.593(d), </w:t>
      </w:r>
      <w:proofErr w:type="gramStart"/>
      <w:r w:rsidRPr="006D4EE5">
        <w:rPr>
          <w:rFonts w:ascii="Times New Roman" w:hAnsi="Times New Roman" w:cs="Times New Roman"/>
          <w:strike/>
          <w:sz w:val="20"/>
          <w:szCs w:val="20"/>
          <w:highlight w:val="yellow"/>
        </w:rPr>
        <w:t>60.593a(</w:t>
      </w:r>
      <w:proofErr w:type="gramEnd"/>
      <w:r w:rsidRPr="006D4EE5">
        <w:rPr>
          <w:rFonts w:ascii="Times New Roman" w:hAnsi="Times New Roman" w:cs="Times New Roman"/>
          <w:strike/>
          <w:sz w:val="20"/>
          <w:szCs w:val="20"/>
          <w:highlight w:val="yellow"/>
        </w:rPr>
        <w:t>d), and 60.633(h).</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ASTM D129–64, 78, 95, 00, Standard Test Method for Sulfur in Petroleum Products (General Bomb Method), IBR approved for §§60.106(j)(2), 60.335(b)(10)(i), and appendix A: Method 19, 12.5.2.2.3.</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(9) ASTM D129–00 (Reapproved 2005), Standard Test Method for Sulfur in Petroleum Products (General Bomb Method),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(10) ASTM D240–76, 92, Standard Test Method for Heat of Combustion of Liquid Hydrocarbon Fuels by Bomb Calorimeter, IBR approved for §§60.46(c), 60.296(b), and appendix A: Method 19, Section 12.5.2.2.3.</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(11) ASTM D270–65, 75, Standard Method of Sampling Petroleum and Petroleum Products, IBR approved for appendix A: Method 19, Section 12.5.2.2.1.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(12) ASTM D323–82, 94, Test Method for Vapor Pressure of Petroleum Products (Reid Method), IBR approved for §§60.111(l), 60.111a(g), 60.111b(g), and 60.116b(f)(2)(ii).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(13) ASTM D388–77, 90, 91, 95, 98a, 99 (Reapproved 2004)ε</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(14) ASTM D396–78, 89, 90, 92, 96, 98, Standard Specification for Fuel Oils, IBR approved for §§60.41b of subpart Db of this part, 60.41c of subpart Dc of this part, 60.111(b) of subpart K of this part, and 60.111a(b) of subpart Ka of this 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(15) ASTM D975–78, 96, 98a, Standard Specification for Diesel Fuel Oils, IBR approved for §§60.111(b) of subpart K of this part and </w:t>
      </w:r>
      <w:proofErr w:type="gramStart"/>
      <w:r w:rsidRPr="006D4EE5">
        <w:rPr>
          <w:rFonts w:ascii="Times New Roman" w:hAnsi="Times New Roman" w:cs="Times New Roman"/>
          <w:strike/>
          <w:sz w:val="20"/>
          <w:szCs w:val="20"/>
          <w:highlight w:val="yellow"/>
        </w:rPr>
        <w:t>60.111a(</w:t>
      </w:r>
      <w:proofErr w:type="gramEnd"/>
      <w:r w:rsidRPr="006D4EE5">
        <w:rPr>
          <w:rFonts w:ascii="Times New Roman" w:hAnsi="Times New Roman" w:cs="Times New Roman"/>
          <w:strike/>
          <w:sz w:val="20"/>
          <w:szCs w:val="20"/>
          <w:highlight w:val="yellow"/>
        </w:rPr>
        <w:t>b) of subpart Ka of this 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(16) ASTM D975–08a, Standard Specification for Diesel Fuel Oils, IBR approved for §§60.41b of subpart Db of this part and 60.41c of subpart Dc of this part.</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(17) ASTM D1072–80, 90 (Reapproved 1994), Standard Test Method for Total Sulfur in Fuel Gases, IBR approved for §60.335(b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10)(ii).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(18) ASTM D1072–90 (Reapproved 1999), Standard Test Method for Total Sulfur in Fuel Gases,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(19) ASTM D1137–53, 75, Standard Method for Analysis of Natural Gases and Related Types of Gaseous Mixtures by the Mass Spectrometer, IBR approved for §60.45(f)(5)(i).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(21) ASTM D1266–87, 91, 98, Standard Test Method for Sulfur in Petroleum Products (Lamp Method), IBR approved for §§60.106(j</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and 60.335(b)(10)(i).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(22) ASTM D1266–98 (Reapproved 2003</w:t>
      </w:r>
      <w:proofErr w:type="gramStart"/>
      <w:r w:rsidRPr="006D4EE5">
        <w:rPr>
          <w:rFonts w:ascii="Times New Roman" w:hAnsi="Times New Roman" w:cs="Times New Roman"/>
          <w:strike/>
          <w:sz w:val="20"/>
          <w:szCs w:val="20"/>
          <w:highlight w:val="yellow"/>
        </w:rPr>
        <w:t>)e1</w:t>
      </w:r>
      <w:proofErr w:type="gramEnd"/>
      <w:r w:rsidRPr="006D4EE5">
        <w:rPr>
          <w:rFonts w:ascii="Times New Roman" w:hAnsi="Times New Roman" w:cs="Times New Roman"/>
          <w:strike/>
          <w:sz w:val="20"/>
          <w:szCs w:val="20"/>
          <w:highlight w:val="yellow"/>
        </w:rPr>
        <w:t>, Standard Test Method for Sulfur in Petroleum Products (Lamp Method), IBR approved for §60.4415(a)(1)(i).</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(23) ASTM D1475–60 (Reapproved 1980), 90, Standard Test Method for Density of Paint, Varnish Lacquer, and Related Products, IBR approved for §60.435(d)(1), appendix A: Method 24, Section 6.1; and Method 24A, Sections 6.5 and 7.1.</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(24) ASTM D1552–83, 95, 01, Standard Test Method for Sulfur in Petroleum Products (High-Temperature Method), IBR approved for §§60.106(j</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60.335(b)(10)(i), and appendix A: Method 19, Section 12.5.2.2.3.</w:t>
      </w:r>
    </w:p>
    <w:p w:rsidR="00EB7550" w:rsidRPr="006D4EE5" w:rsidRDefault="00EB7550" w:rsidP="00EB7550">
      <w:pPr>
        <w:pStyle w:val="NormalWeb"/>
        <w:spacing w:before="0" w:beforeAutospacing="0" w:after="0" w:afterAutospacing="0"/>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(25) ASTM D1552–03, Standard Test Method for Sulfur in Petroleum Products (High-Temperature Method),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(26) ASTM D1826–77, 94, Standard Test Method for Calorific Value of Gases in Natural Gas Range by Continuous Recording Calorimeter, IBR approved for §§60.45(f)(5)(ii), 60.46(c)(2), 60.296(b)(3), and appendix A: Method 19, Section 12.3.2.4.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(27) ASTM D1835–87, 91, 97, 03a, Standard Specification for Liquefied Petroleum (LP) Gases, IBR approved for §§60.41Da of subpart Da of this part, 60.41b of subpart Db of this part, and 60.41c of subpart Dc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(28) ASTM D1945–64, 76, 91, 96, Standard Method for Analysis of Natural Gas by Gas Chromatography, IBR approved for §60.45(f)(5)(i).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(29) ASTM D1946–77, 90 (Reapproved 1994), Standard Method for Analysis of Reformed Gas by Gas Chromatography, IBR approved for §§60.18(f)(3), 60.45(f)(5)(i), 60.564(f)(1), 60.614(e)(2)(ii), 60.614(e)(4), 60.664(e)(2)(ii), 60.664(e)(4), 60.704(d)(2)(ii), and 60.704(d)(4).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(30) ASTM D2013–72, 86, Standard Method of Preparing Coal Samples for Analysis, IBR approved for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(31) ASTM D2015–77 (Reapproved 1978), 96, Standard Test Method for Gross Calorific Value of Solid Fuel by the Adiabatic Bomb Calorimeter, IBR approved for §60.45(f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5)(ii), 60.46(c)(2), and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(32) ASTM D2016–74, 83, Standard Test Methods for Moisture Content of Wood, IBR approved for appendix A: Method 28, Section 16.1.1.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(33) ASTM D2234–76, 96, 97b, 98, Standard Methods for Collection of a Gross Sample of Coal, IBR approved for appendix A: Method 19, Section 12.5.2.1.1.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(34) ASTM D2369–81, 87, 90, 92, 93, 95, Standard Test Method for Volatile Content of Coatings, IBR approved for appendix A: Method 24, Section 6.2.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(35) ASTM D2382–76, 88, Heat of Combustion of Hydrocarbon Fuels by Bomb Calorimeter (High-Precision Method), IBR approved for §§60.18(f)(3), 60.485(g)(6), 60.485a(g)(6), 60.564(f)(3), 60.614(e)(4), 60.664(e)(4), and 60.704(d)(4).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(36) ASTM D2504–67, 77, 88 (Reapproved 1993), </w:t>
      </w:r>
      <w:proofErr w:type="spellStart"/>
      <w:r w:rsidRPr="006D4EE5">
        <w:rPr>
          <w:rFonts w:ascii="Times New Roman" w:hAnsi="Times New Roman" w:cs="Times New Roman"/>
          <w:strike/>
          <w:sz w:val="20"/>
          <w:szCs w:val="20"/>
          <w:highlight w:val="yellow"/>
        </w:rPr>
        <w:t>Noncondensable</w:t>
      </w:r>
      <w:proofErr w:type="spellEnd"/>
      <w:r w:rsidRPr="006D4EE5">
        <w:rPr>
          <w:rFonts w:ascii="Times New Roman" w:hAnsi="Times New Roman" w:cs="Times New Roman"/>
          <w:strike/>
          <w:sz w:val="20"/>
          <w:szCs w:val="20"/>
          <w:highlight w:val="yellow"/>
        </w:rPr>
        <w:t xml:space="preserve"> Gases in C3 and Lighter Hydrocarbon Products by Gas Chromatography, IBR approved for §§60.485(g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and 60.485a(g)(5).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(37) ASTM D2584–68 (Reapproved 1985), 94, Standard Test Method for Ignition Loss of Cured Reinforced Resins, IBR approved for §60.685(c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(38) ASTM D2597–94 (Reapproved 1999), Standard Test Method for Analysis of Demethanized Hydrocarbon Liquid Mixtures Containing Nitrogen and Carbon Dioxide by Gas Chromatography, IBR approved for §60.335(b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9)(i).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(39) ASTM D2622–87, 94, 98, Standard Test Method for Sulfur in Petroleum Products by Wavelength Dispersive X-Ray Fluorescence Spectrometry, IBR approved for §§60.106(j</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and 60.335(b)(10)(i).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ASTM D2622–05, Standard Test Method for Sulfur in Petroleum Products by Wavelength Dispersive X-Ray Fluorescence Spectrometry,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(41) ASTM D2879–83, 96, 97, Test Method for Vapor Pressure-Temperature Relationship and Initial Decomposition Temperature of Liquids by Isoteniscope, IBR approved for §§60.111b(f)(3), 60.116b(e)(3)(ii), 60.116b(f)(2)(i), 60.485(e)(1), and 60.485a(e)(1).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(42) ASTM D2880–78, 96, Standard Specification for Gas Turbine Fuel Oils, IBR approved for §§60.111(b), </w:t>
      </w:r>
      <w:proofErr w:type="gramStart"/>
      <w:r w:rsidRPr="006D4EE5">
        <w:rPr>
          <w:rFonts w:ascii="Times New Roman" w:hAnsi="Times New Roman" w:cs="Times New Roman"/>
          <w:strike/>
          <w:sz w:val="20"/>
          <w:szCs w:val="20"/>
          <w:highlight w:val="yellow"/>
        </w:rPr>
        <w:t>60.111a(</w:t>
      </w:r>
      <w:proofErr w:type="gramEnd"/>
      <w:r w:rsidRPr="006D4EE5">
        <w:rPr>
          <w:rFonts w:ascii="Times New Roman" w:hAnsi="Times New Roman" w:cs="Times New Roman"/>
          <w:strike/>
          <w:sz w:val="20"/>
          <w:szCs w:val="20"/>
          <w:highlight w:val="yellow"/>
        </w:rPr>
        <w:t>b), and 60.335(d).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(43) ASTM D2908–74, 91, Standard Practice for Measuring Volatile Organic Matter in Water by Aqueous-Injection Gas Chromatography, IBR approved for §60.564(j).</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(44) ASTM D2986–71, 78, 95a, Standard Method for Evaluation of Air, Assay Media by the Monodisperse DOP (Dioctyl Phthalate) Smoke Test, IBR approved for appendix A: Method 5, Section 7.1.1; Method 12, Section 7.1.1; and Method 13A, Section 7.1.1.2.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(45) ASTM D3173–73, 87, Standard Test Method for Moisture in the Analysis Sample of Coal and Coke, IBR approved for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(46) ASTM D3176–74, 89, Standard Method for Ultimate Analysis of Coal and Coke, IBR approved for §60.45(f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 and appendix A: Method 19, Section 12.3.2.3.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(47) ASTM D3177–75, 89, Standard Test Method for Total Sulfur in the Analysis Sample of Coal and Coke, IBR approved for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(48) ASTM D3178–73 (Reapproved 1979), 89, Standard Test Methods for Carbon and Hydrogen in the Analysis Sample of Coal and Coke, IBR approved for §60.45(f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(49) ASTM D3246–81, 92, 96, Standard Test Method for Sulfur in Petroleum Gas by Oxidative Microcoulometry, IBR approved for §60.335(b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10)(ii).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(50) ASTM D3246–05, Standard Test Method for Sulfur in Petroleum Gas by Oxidative Microcoulometry,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(51) ASTM D3270–73T, 80, 91, 95, Standard Test Methods for Analysis for Fluoride Content of the Atmosphere and Plant Tissues (Semiautomated Method), IBR approved for appendix A: Method 13A, Section 16.1.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(52) ASTM D3286–85, 96, Standard Test Method for Gross Calorific Value of Coal and Coke by the Isoperibol Bomb Calorimeter, IBR approved for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(53) ASTM D3370–76, 95a, Standard Practices for Sampling Water, IBR approved for §60.564(j).</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(54) ASTM D3792–79, 91, Standard Test Method for Water Content of Water-Reducible Paints by Direct Injection into a Gas Chromatograph, IBR approved for appendix A: Method 24, Section 6.3.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(55) ASTM D4017–81, 90, 96a, Standard Test Method for Water in Paints and Paint Materials by the Karl Fischer Titration Method, IBR approved for appendix A: Method 24, Section 6.4.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(56) ASTM D4057–81, 95, Standard Practice for Manual Sampling of Petroleum and Petroleum Products, IBR approved for appendix A: Method 19, Section 12.5.2.2.3.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(57) ASTM D4057–95 (Reapproved 2000), Standard Practice for Manual Sampling of Petroleum and Petroleum Products,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(58) ASTM D4084–82, 94, Standard Test Method for Analysis of Hydrogen Sulfide in Gaseous Fuels (Lead Acetate Reaction Rate Method), IBR approved for §60.334(h)(1).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ASTM D4084–05, Standard Test Method for Analysis of Hydrogen Sulfide in Gaseous Fuels (Lead Acetate Reaction Rate Method), IBR approved for §§60.4360 and 60.4415(a)(1)(ii).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(60) ASTM D4177–95, Standard Practice for Automatic Sampling of Petroleum and Petroleum Products, IBR approved for appendix A: Method 19, Section 12.5.2.2.1.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(61) ASTM D4177–95 (Reapproved 2000), Standard Practice for Automatic Sampling of Petroleum and Petroleum Products,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(62) ASTM D4239–85, 94, 97, Standard Test Methods for Sulfur in the Analysis Sample of Coal and Coke Using High Temperature Tube Furnace Combustion Methods, IBR approved for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(63) ASTM D4294–02, Standard Test Method for Sulfur in Petroleum and Petroleum Products by Energy-Dispersive X-Ray Fluorescence Spectrometry, IBR approved for §60.335(b)(10)(i).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(64) ASTM D4294–03, Standard Test Method for Sulfur in Petroleum and Petroleum Products by Energy-Dispersive X-Ray Fluorescence Spectrometry, IBR approved for §60.4415(a)(1)(i).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(65) ASTM D4442–84, 92, Standard Test Methods for Direct Moisture Content Measurement in Wood and Wood-base Materials, IBR approved for appendix A: Method 28, Section 16.1.1.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(66) ASTM D4444–92, Standard Test Methods for Use and Calibration of Hand-Held Moisture Meters, IBR approved for appendix A: Method 28, Section 16.1.1.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(67) ASTM D4457–85 (Reapproved 1991), Test Method for Determination of Dichloromethane and 1, 1, 1-Trichloroethane in Paints and Coatings by Direct Injection into a Gas Chromatograph, IBR approved for appendix A: Method 24, Section 6.5.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(68) ASTM D4468–85 (Reapproved 2000), Standard Test Method for Total Sulfur in Gaseous Fuels by Hydrogenolysis and Rateometric Colorimetry, IBR approved for §§60.335(b)(10)(ii) and 60.4415(a)(1)(ii).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(69) ASTM D4629–02, Standard Test Method for Trace Nitrogen in Liquid Petroleum Hydrocarbons by Syringe/Inlet Oxidative Combustion and Chemiluminescence Detection, IBR approved for §§60.49b(e) and 60.335(b)(9)(i).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(70) ASTM D4809–95, Standard Test Method for Heat of Combustion of Liquid Hydrocarbon Fuels by Bomb Calorimeter (Precision Method), IBR approved for §§60.18(f)(3), 60.485(g)(6), 60.485a(g)(6), 60.564(f)(3), 60.614(d)(4), 60.664(e)(4), and 60.704(d)(4).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(71) ASTM D4810–88 (Reapproved 1999), Standard Test Method for Hydrogen Sulfide in Natural Gas Using Length of Stain Detector Tubes, IBR approved for §§60.4360 and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(72) ASTM D5287–97 (Reapproved 2002), Standard Practice for Automatic Sampling of Gaseous Fuels, IBR approved for §60.4415(a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(73) ASTM D5403–93, Standard Test Methods for Volatile Content of Radiation Curable Materials, IBR approved for appendix A: Method 24, Section 6.6.</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(74) ASTM D5453–00, Standard Test Method for Determination of Total Sulfur in Light Hydrocarbons, Motor Fuels and Oils by Ultraviolet Fluorescence, IBR approved for §60.335(b)(10)(i).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(75) ASTM D5453–05, Standard Test Method for Determination of Total Sulfur in Light Hydrocarbons, Motor Fuels and Oils by Ultraviolet Fluorescence, IBR approved for §60.4415(a)(1)(i).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(76) ASTM D5504–01, Standard Test Method for Determination of Sulfur Compounds in Natural Gas and Gaseous Fuels by Gas Chromatography and Chemiluminescence, IBR approved for §§60.334(h)(1) and 60.4360.</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(77) ASTM D5762–02, Standard Test Method for Nitrogen in Petroleum and Petroleum Products by Boat-Inlet Chemiluminescence, IBR approved for §60.335(b)(9)(i).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(78) ASTM D5865–98, Standard Test Method for Gross Calorific Value of Coal and Coke, IBR approved for §60.45(f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5)(ii), 60.46(c)(2), and appendix A: Method 19, Section 12.5.2.1.3.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(79) ASTM D6216–98, Standard Practice for Opacity Monitor Manufacturers to Certify Conformance with Design and Performance Specifications, IBR approved for appendix B, Performance Specification 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(80) ASTM D6228–98, Standard Test Method for Determination of Sulfur Compounds in Natural Gas and Gaseous Fuels by Gas Chromatography and Flame Photometric Detection, IBR approved for §60.334(h)(1).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(81) ASTM D6228–98 (Reapproved 2003), Standard Test Method for Determination of Sulfur Compounds in Natural Gas and Gaseous Fuels by Gas Chromatography and Flame Photometric Detection, IBR approved for §§60.4360 and 60.4415.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(82) ASTM D6348–03, Standard Test Method for Determination of Gaseous Compounds by Extractive Direct Interface Fourier Transform Infrared (FTIR) Spectroscopy, IBR approved for table 7 of subpart IIII of this part and table 2 of subpart JJJJ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(83) ASTM D6366–99, Standard Test Method for Total Trace Nitrogen and Its Derivatives in Liquid Aromatic Hydrocarbons by Oxidative Combustion and Electrochemical Detection, IBR approved for §60.335(b)(9)(i).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(84) ASTM D6420–99 (Reapproved 2004) Standard Test Method for Determination of Gaseous Organic Compounds by Direct Interface Gas Chromatography-Mass Spectrometry, IBR approved for table 2 of subpart JJJJ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(87) ASTM D6667–01, Standard Test Method for Determination of Total Volatile Sulfur in Gaseous Hydrocarbons and Liquefied Petroleum Gases by Ultraviolet Fluorescence, IBR approved for §60.335(b)(10)(ii).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(88) ASTM D6667–04, Standard Test Method for Determination of Total Volatile Sulfur in Gaseous Hydrocarbons and Liquefied Petroleum Gases by Ultraviolet Fluorescence, IBR approved for §60.4415(a)(1)(ii).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(89) ASTM D6784–02, Standard Test Method for Elemental, Oxidized, Particle-Bound and Total Mercury in Flue Gas Generated from Coal-Fired Stationary Sources (Ontario Hydro Method), IBR approved for appendix B to part 60, Performance Specification 12A, Section 8.6.2.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(90) ASTM D6784–02, Standard Test Method for Elemental, Oxidized, Particle-Bound and Total Mercury in Flue Gas Generated from Coal-Fired Stationary Sources (Ontario Hydro Method), IBR approved for Appendix B to part 60, Performance Specification 12A, Section 8.6.2 and §60.56c(b)(13) of subpart </w:t>
      </w:r>
      <w:proofErr w:type="spellStart"/>
      <w:r w:rsidRPr="006D4EE5">
        <w:rPr>
          <w:rFonts w:ascii="Times New Roman" w:hAnsi="Times New Roman" w:cs="Times New Roman"/>
          <w:strike/>
          <w:sz w:val="20"/>
          <w:szCs w:val="20"/>
          <w:highlight w:val="yellow"/>
        </w:rPr>
        <w:t>Ec</w:t>
      </w:r>
      <w:proofErr w:type="spellEnd"/>
      <w:r w:rsidRPr="006D4EE5">
        <w:rPr>
          <w:rFonts w:ascii="Times New Roman" w:hAnsi="Times New Roman" w:cs="Times New Roman"/>
          <w:strike/>
          <w:sz w:val="20"/>
          <w:szCs w:val="20"/>
          <w:highlight w:val="yellow"/>
        </w:rPr>
        <w:t xml:space="preserve">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(91) ASTM E169–63, 77, 93, General Techniques of Ultraviolet Quantitative Analysis, IBR approved for §§</w:t>
      </w:r>
      <w:proofErr w:type="gramStart"/>
      <w:r w:rsidRPr="006D4EE5">
        <w:rPr>
          <w:rFonts w:ascii="Times New Roman" w:hAnsi="Times New Roman" w:cs="Times New Roman"/>
          <w:strike/>
          <w:sz w:val="20"/>
          <w:szCs w:val="20"/>
          <w:highlight w:val="yellow"/>
        </w:rPr>
        <w:t>60.485a(</w:t>
      </w:r>
      <w:proofErr w:type="gramEnd"/>
      <w:r w:rsidRPr="006D4EE5">
        <w:rPr>
          <w:rFonts w:ascii="Times New Roman" w:hAnsi="Times New Roman" w:cs="Times New Roman"/>
          <w:strike/>
          <w:sz w:val="20"/>
          <w:szCs w:val="20"/>
          <w:highlight w:val="yellow"/>
        </w:rPr>
        <w:t>d)(1), 60.593(b)(2), 60.593a(b)(2), and 60.632(f).</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(92) ASTM E260–73, 91, 96, General Gas Chromatography Procedures, IBR approved for §§</w:t>
      </w:r>
      <w:proofErr w:type="gramStart"/>
      <w:r w:rsidRPr="006D4EE5">
        <w:rPr>
          <w:rFonts w:ascii="Times New Roman" w:hAnsi="Times New Roman" w:cs="Times New Roman"/>
          <w:strike/>
          <w:sz w:val="20"/>
          <w:szCs w:val="20"/>
          <w:highlight w:val="yellow"/>
        </w:rPr>
        <w:t>60.485a(</w:t>
      </w:r>
      <w:proofErr w:type="gramEnd"/>
      <w:r w:rsidRPr="006D4EE5">
        <w:rPr>
          <w:rFonts w:ascii="Times New Roman" w:hAnsi="Times New Roman" w:cs="Times New Roman"/>
          <w:strike/>
          <w:sz w:val="20"/>
          <w:szCs w:val="20"/>
          <w:highlight w:val="yellow"/>
        </w:rPr>
        <w:t>d)(1), 60.593(b)(2), 60.593a(b)(2), and 60.632(f).</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following material is available for purchase from the Association of Official Analytical Chemists, 1111 North 19th Street, Suite 210, Arlington, VA 22209.</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AOAC Method 9, Official Methods of Analysis of the Association of Official Analytical Chemists, 11th edition, 1970, pp. 11–12, IBR approved January 27, 1983 for §§60.204(b)(3), 60.214(b)(3), 60.224(b)(3), 60.234(b)(3).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The following material is available for purchase from the American Petroleum Institute, 1220 L Street NW., </w:t>
      </w:r>
      <w:proofErr w:type="gramStart"/>
      <w:r w:rsidRPr="006D4EE5">
        <w:rPr>
          <w:rFonts w:ascii="Times New Roman" w:hAnsi="Times New Roman" w:cs="Times New Roman"/>
          <w:strike/>
          <w:sz w:val="20"/>
          <w:szCs w:val="20"/>
          <w:highlight w:val="yellow"/>
        </w:rPr>
        <w:t>Washington</w:t>
      </w:r>
      <w:proofErr w:type="gramEnd"/>
      <w:r w:rsidRPr="006D4EE5">
        <w:rPr>
          <w:rFonts w:ascii="Times New Roman" w:hAnsi="Times New Roman" w:cs="Times New Roman"/>
          <w:strike/>
          <w:sz w:val="20"/>
          <w:szCs w:val="20"/>
          <w:highlight w:val="yellow"/>
        </w:rPr>
        <w:t>, DC 20005.</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API Publication 2517, Evaporation Loss from External Floating Roof Tanks, Second Edition, February 1980, IBR approved January 27, 1983, for §§60.111(i), 60.111a(f), 60.111a(f)(1) and 60.116b(e)(2)(i).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following material is available for purchase from the Technical Association of the Pulp and Paper Industry (TAPPI), Dunwoody Park, Atlanta, GA 30341.</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TAPPI Method T624 os–68, IBR approved January 27, 1983 for §60.285(d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The following material is available for purchase from the Water Pollution Control Federation (WPCF), 2626 Pennsylvania Avenue NW., </w:t>
      </w:r>
      <w:proofErr w:type="gramStart"/>
      <w:r w:rsidRPr="006D4EE5">
        <w:rPr>
          <w:rFonts w:ascii="Times New Roman" w:hAnsi="Times New Roman" w:cs="Times New Roman"/>
          <w:strike/>
          <w:sz w:val="20"/>
          <w:szCs w:val="20"/>
          <w:highlight w:val="yellow"/>
        </w:rPr>
        <w:t>Washington</w:t>
      </w:r>
      <w:proofErr w:type="gramEnd"/>
      <w:r w:rsidRPr="006D4EE5">
        <w:rPr>
          <w:rFonts w:ascii="Times New Roman" w:hAnsi="Times New Roman" w:cs="Times New Roman"/>
          <w:strike/>
          <w:sz w:val="20"/>
          <w:szCs w:val="20"/>
          <w:highlight w:val="yellow"/>
        </w:rPr>
        <w:t>, DC 20037.</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Method 209A, Total Residue Dried at 103–105 °C, in Standard Methods for the Examination of Water and Wastewater, 15th Edition, 1980, IBR approved February 25, 1985 for §60.683(b).</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The following material is available for purchase from the following address: Underwriter's Laboratories, Inc. (UL), 333 Pfingsten Road, Northbrook, IL 60062.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UL 103, Sixth Edition revised as of September 3, 1986, Standard for Chimneys, Factory-built, Residential Type and Building Heating Appliance.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The following material is available for purchase from the following address: West Coast Lumber Inspection Bureau, 6980 SW. Barnes Road, Portland, OR 97223.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West Coast Lumber Standard Grading Rules No. 16, pages 5–21 and 90 and 91, September 3, 1970, revised 1984.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The following material is available for purchase from the American Society of Mechanical Engineers (ASME), Three Park Avenue, New York, NY 10016–5990.</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ASME QRO–1–1994, Standard for the Qualification and Certification of Resource Recovery Facility Operators, IBR approved for §§60.56a, </w:t>
      </w:r>
      <w:proofErr w:type="gramStart"/>
      <w:r w:rsidRPr="006D4EE5">
        <w:rPr>
          <w:rFonts w:ascii="Times New Roman" w:hAnsi="Times New Roman" w:cs="Times New Roman"/>
          <w:strike/>
          <w:sz w:val="20"/>
          <w:szCs w:val="20"/>
          <w:highlight w:val="yellow"/>
        </w:rPr>
        <w:t>60.54b(</w:t>
      </w:r>
      <w:proofErr w:type="gramEnd"/>
      <w:r w:rsidRPr="006D4EE5">
        <w:rPr>
          <w:rFonts w:ascii="Times New Roman" w:hAnsi="Times New Roman" w:cs="Times New Roman"/>
          <w:strike/>
          <w:sz w:val="20"/>
          <w:szCs w:val="20"/>
          <w:highlight w:val="yellow"/>
        </w:rPr>
        <w:t>a), 60.54b(b), 60.1185(a), 60.1185(c)(2), 60.1675(a), and 60.1675(c)(2).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ASME PTC 4.1–1964 (Reaffirmed 1991), Power Test Codes: Test Code for Steam Generating Units (with 1968 and 1969 Addenda), IBR approved for §§60.46b of subpart Db of this part, </w:t>
      </w:r>
      <w:proofErr w:type="gramStart"/>
      <w:r w:rsidRPr="006D4EE5">
        <w:rPr>
          <w:rFonts w:ascii="Times New Roman" w:hAnsi="Times New Roman" w:cs="Times New Roman"/>
          <w:strike/>
          <w:sz w:val="20"/>
          <w:szCs w:val="20"/>
          <w:highlight w:val="yellow"/>
        </w:rPr>
        <w:t>60.58a(</w:t>
      </w:r>
      <w:proofErr w:type="gramEnd"/>
      <w:r w:rsidRPr="006D4EE5">
        <w:rPr>
          <w:rFonts w:ascii="Times New Roman" w:hAnsi="Times New Roman" w:cs="Times New Roman"/>
          <w:strike/>
          <w:sz w:val="20"/>
          <w:szCs w:val="20"/>
          <w:highlight w:val="yellow"/>
        </w:rPr>
        <w:t>h)(6)(ii), 60.58b(i)(6)(ii), 60.1320(a)(3) and 60.1810(a)(3).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ASME Interim Supplement 19.5 on Instruments and Apparatus: Application, Part II of Fluid Meters, 6th Edition (1971), IBR approved for §§</w:t>
      </w:r>
      <w:proofErr w:type="gramStart"/>
      <w:r w:rsidRPr="006D4EE5">
        <w:rPr>
          <w:rFonts w:ascii="Times New Roman" w:hAnsi="Times New Roman" w:cs="Times New Roman"/>
          <w:strike/>
          <w:sz w:val="20"/>
          <w:szCs w:val="20"/>
          <w:highlight w:val="yellow"/>
        </w:rPr>
        <w:t>60.58a(</w:t>
      </w:r>
      <w:proofErr w:type="gramEnd"/>
      <w:r w:rsidRPr="006D4EE5">
        <w:rPr>
          <w:rFonts w:ascii="Times New Roman" w:hAnsi="Times New Roman" w:cs="Times New Roman"/>
          <w:strike/>
          <w:sz w:val="20"/>
          <w:szCs w:val="20"/>
          <w:highlight w:val="yellow"/>
        </w:rPr>
        <w:t>h)(6)(ii), 60.58b(i)(6)(ii), 60.1320(a)4), and 60.1810(a)(4).</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ANSI/ASME PTC 19.10–1981, Flue and Exhaust Gas Analyses [part 10, Instruments and Apparatus], IBR approved for §60.106(e)(2) of subpart J, §§60.104a(d)(3), (d)(5), (d)(6), (h)(3), (h)(4), (h)(5), (i)(3), (i)(4), (i)(5), (j)(3), and (j)(4), 60.105a(d)(4), (f)(2), (f)(4), (g)(2), and (g)(4), 60.106a(a)(1)(iii), (a)(2)(iii), (a)(2)(v), (a)(2)(viii), (a)(3)(ii), and (a)(3)(v), and 60.107a(a)(1)(ii), (a)(1)(iv), (a)(2)(ii), (c)(2), (c)(4), and (d)(2) of subpart Ja, §60.257(b)(3) of subpart Y, tables 1 and 3 of subpart EEEE, tables 2 and 4 of subpart FFFF, table 2 of subpart JJJJ, and §§60.4415(a)(2) and 60.4415(a)(3) of subpart KKKK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20036, and is incorporated by reference for appendix A to part 60, Method 29, Sections 9.2.3; 10.3; and 11.1.3.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OMB Bulletin No. 93–17: Revised Statistical Definitions for Metropolitan Areas. Office of Management and Budget, June 30, 1993. NTIS No. PB 93–192–664. IBR approved for §60.31e.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20460. You may inspect a copy at EPA's Air and Radiation Docket and Information Center, Room 3334, 1301 Constitution Ave.,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20460.</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Gas Processors Association Standard 2377–86, Test for Hydrogen Sulfide and Carbon Dioxide in Natural Gas Using Length of Stain Tubes, 1986 Revision, IBR approved for §§60.105(b)(1)(iv), 60.107a(b)(1)(iv), 60.334(h)(1), 60.4360, and 60.4415(a)(1)(ii).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 This material is available for purchase from IHS Inc., 15 Inverness Way East, Englewood, CO 80112.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International Organization for Standards 8178–4: 1996(E), Reciprocating Internal Combustion Engines—Exhaust Emission Measurement—part 4: Test Cycles for Different Engine Applications, IBR approved for §60.4241(b).</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[48 FR 3735, Jan. 27, 1983]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t>Editorial Note:</w:t>
      </w:r>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ForFederal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Registercitations</w:t>
      </w:r>
      <w:proofErr w:type="spellEnd"/>
      <w:r w:rsidRPr="006D4EE5">
        <w:rPr>
          <w:rFonts w:ascii="Times New Roman" w:hAnsi="Times New Roman" w:cs="Times New Roman"/>
          <w:strike/>
          <w:sz w:val="20"/>
          <w:szCs w:val="20"/>
          <w:highlight w:val="yellow"/>
        </w:rPr>
        <w:t xml:space="preserve"> affecting §60.17, see the List of CFR Sections Affected, which appears in the Finding Aids section of the printed volume and on GPO Access.</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60.18   General control device and work practice requirements.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Introduction. </w:t>
      </w:r>
      <w:r w:rsidRPr="006D4EE5">
        <w:rPr>
          <w:rFonts w:ascii="Times New Roman" w:hAnsi="Times New Roman" w:cs="Times New Roman"/>
          <w:strike/>
          <w:sz w:val="20"/>
          <w:szCs w:val="20"/>
          <w:highlight w:val="yellow"/>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Flares. </w:t>
      </w:r>
      <w:r w:rsidRPr="006D4EE5">
        <w:rPr>
          <w:rFonts w:ascii="Times New Roman" w:hAnsi="Times New Roman" w:cs="Times New Roman"/>
          <w:strike/>
          <w:sz w:val="20"/>
          <w:szCs w:val="20"/>
          <w:highlight w:val="yellow"/>
        </w:rPr>
        <w:t>Paragraphs (c) through (f) apply to flares.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(c)(1) Flares shall be designed for and operated with no visible emissions as determined by the methods specified in paragraph (f), except for periods not to exceed a total of 5 minutes during any 2 consecutive hours.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Flares shall be operated with a flame present at all times, as determined by the methods specified in paragraph (f).</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An owner/operator has the choice of adhering to either the heat content specifications in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3)(ii) of this section and the maximum tip velocity specifications in paragraph (c)(4) of this section, or adhering to the requirements in paragraph (c)(3)(i)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as determined by the following equation: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H2</w:t>
      </w:r>
      <w:r w:rsidRPr="006D4EE5">
        <w:rPr>
          <w:rFonts w:ascii="Times New Roman" w:hAnsi="Times New Roman" w:cs="Times New Roman"/>
          <w:strike/>
          <w:sz w:val="20"/>
          <w:szCs w:val="20"/>
          <w:highlight w:val="yellow"/>
        </w:rPr>
        <w:t>−K</w:t>
      </w:r>
      <w:r w:rsidRPr="006D4EE5">
        <w:rPr>
          <w:rFonts w:ascii="Times New Roman" w:hAnsi="Times New Roman" w:cs="Times New Roman"/>
          <w:strike/>
          <w:sz w:val="20"/>
          <w:szCs w:val="20"/>
          <w:highlight w:val="yellow"/>
          <w:vertAlign w:val="subscript"/>
        </w:rPr>
        <w:t>1</w:t>
      </w:r>
      <w:r w:rsidRPr="006D4EE5">
        <w:rPr>
          <w:rFonts w:ascii="Times New Roman" w:hAnsi="Times New Roman" w:cs="Times New Roman"/>
          <w:strike/>
          <w:sz w:val="20"/>
          <w:szCs w:val="20"/>
          <w:highlight w:val="yellow"/>
        </w:rPr>
        <w:t>)* K</w:t>
      </w:r>
      <w:r w:rsidRPr="006D4EE5">
        <w:rPr>
          <w:rFonts w:ascii="Times New Roman" w:hAnsi="Times New Roman" w:cs="Times New Roman"/>
          <w:strike/>
          <w:sz w:val="20"/>
          <w:szCs w:val="20"/>
          <w:highlight w:val="yellow"/>
          <w:vertAlign w:val="subscript"/>
        </w:rPr>
        <w:t>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w:t>
      </w:r>
      <w:r w:rsidRPr="006D4EE5">
        <w:rPr>
          <w:rFonts w:ascii="Times New Roman" w:hAnsi="Times New Roman" w:cs="Times New Roman"/>
          <w:strike/>
          <w:sz w:val="20"/>
          <w:szCs w:val="20"/>
          <w:highlight w:val="yellow"/>
          <w:vertAlign w:val="subscript"/>
        </w:rPr>
        <w:t>1</w:t>
      </w:r>
      <w:r w:rsidRPr="006D4EE5">
        <w:rPr>
          <w:rFonts w:ascii="Times New Roman" w:hAnsi="Times New Roman" w:cs="Times New Roman"/>
          <w:strike/>
          <w:sz w:val="20"/>
          <w:szCs w:val="20"/>
          <w:highlight w:val="yellow"/>
        </w:rPr>
        <w:t>=Constant, 6.0 volume-percent hydrogen.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=Constant, 3.9(m/sec)/volume-percent hydrogen.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H2</w:t>
      </w: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The</w:t>
      </w:r>
      <w:proofErr w:type="gramEnd"/>
      <w:r w:rsidRPr="006D4EE5">
        <w:rPr>
          <w:rFonts w:ascii="Times New Roman" w:hAnsi="Times New Roman" w:cs="Times New Roman"/>
          <w:strike/>
          <w:sz w:val="20"/>
          <w:szCs w:val="20"/>
          <w:highlight w:val="yellow"/>
        </w:rPr>
        <w:t xml:space="preserve"> volume-percent of hydrogen, on a wet basis, as calculated by using the American Society for Testing and Materials (ASTM) Method D1946–77. (Incorporated by reference as specified in §60.17).</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actual exit velocity of a flare shall be determined by the method specified in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 Flares shall be used only with the net heating value of the gas being combusted being 11.2 MJ/scm (300 Btu/scf) or greater if the flare is steam-assisted or air-assisted; or with the net heating value of the gas being combusted being 7.45 MJ/scm (200 </w:t>
      </w:r>
      <w:r w:rsidRPr="006D4EE5">
        <w:rPr>
          <w:rFonts w:ascii="Times New Roman" w:hAnsi="Times New Roman" w:cs="Times New Roman"/>
          <w:strike/>
          <w:sz w:val="20"/>
          <w:szCs w:val="20"/>
          <w:highlight w:val="yellow"/>
        </w:rPr>
        <w:lastRenderedPageBreak/>
        <w:t>Btu/scf) or greater if the flare is nonassisted. The net heating value of the gas being combusted shall be determined by the methods specified in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Steam-assisted and nonassisted flares designed for and operated with an exit velocity, as determined by the methods specified in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equal to or greater than 18.3 m/sec (60 ft/sec) but less than 122 m/sec (400 ft/sec) are allowed if the net heating value of the gas being combusted is greater than 37.3 MJ/scm (1,000 Btu/scf).</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Steam-assisted and nonassisted flares designed for and operated with an exit velocity, as determined by the methods specified in paragraph (f)(4),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as determined by the method specified in paragraph (f)(5), and less than 122 m/sec (400 ft/sec) are allowed.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Air-assisted flares shall be designed and operated with an exit velocity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as determined by the method specified in paragraph (f)(6).</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Flares used to comply with this section shall be steam-assisted, air-assisted, or nonassisted.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Flares used to comply with provisions of this subpart shall be operated at all times when emissions may be vented to them.</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(f)(1) Method 22 of appendix A to this part shall be used to determine the compliance of flares with the visible emission provisions of this subpart. The observation period is 2 hours and shall be used according to Method 22.</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presence of a flare pilot flame shall be monitored using a thermocouple or any other equivalent device to detect the presence of a flame.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net heating value of the gas being combusted in a flare shall be calculated using the following equation:</w:t>
      </w:r>
    </w:p>
    <w:p w:rsidR="00EB7550" w:rsidRPr="006D4EE5" w:rsidRDefault="00C718A9" w:rsidP="00EB7550">
      <w:pPr>
        <w:jc w:val="both"/>
        <w:rPr>
          <w:rStyle w:val="updatebodytest1"/>
          <w:strike/>
          <w:highlight w:val="yellow"/>
        </w:rPr>
      </w:pPr>
      <w:r w:rsidRPr="006D4EE5">
        <w:rPr>
          <w:strike/>
          <w:noProof/>
          <w:highlight w:val="yellow"/>
        </w:rPr>
        <w:drawing>
          <wp:inline distT="0" distB="0" distL="0" distR="0">
            <wp:extent cx="1099820" cy="302895"/>
            <wp:effectExtent l="0" t="0" r="0" b="0"/>
            <wp:docPr id="18"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99820" cy="302895"/>
                    </a:xfrm>
                    <a:prstGeom prst="rect">
                      <a:avLst/>
                    </a:prstGeom>
                    <a:noFill/>
                    <a:ln>
                      <a:noFill/>
                    </a:ln>
                  </pic:spPr>
                </pic:pic>
              </a:graphicData>
            </a:graphic>
          </wp:inline>
        </w:drawing>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=Net heating value of the sample, MJ/scm; where the net enthalpy per mole of offgas is based on combustion at 25 °C and 760 mm Hg, but the standard temperature for determining the volume corresponding to one mole is 20 °C;</w:t>
      </w:r>
    </w:p>
    <w:p w:rsidR="00EB7550" w:rsidRPr="006D4EE5" w:rsidRDefault="00C718A9" w:rsidP="00EB7550">
      <w:pPr>
        <w:jc w:val="both"/>
        <w:rPr>
          <w:rStyle w:val="updatebodytest1"/>
          <w:strike/>
          <w:highlight w:val="yellow"/>
        </w:rPr>
      </w:pPr>
      <w:r w:rsidRPr="006D4EE5">
        <w:rPr>
          <w:strike/>
          <w:noProof/>
          <w:highlight w:val="yellow"/>
        </w:rPr>
        <w:drawing>
          <wp:inline distT="0" distB="0" distL="0" distR="0">
            <wp:extent cx="3382645" cy="572135"/>
            <wp:effectExtent l="0" t="0" r="0" b="0"/>
            <wp:docPr id="17"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82645" cy="572135"/>
                    </a:xfrm>
                    <a:prstGeom prst="rect">
                      <a:avLst/>
                    </a:prstGeom>
                    <a:noFill/>
                    <a:ln>
                      <a:noFill/>
                    </a:ln>
                  </pic:spPr>
                </pic:pic>
              </a:graphicData>
            </a:graphic>
          </wp:inline>
        </w:drawing>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=Concentration of sample component i in ppm on a wet basis, as measured for organics by Reference Method 18 and measured for hydrogen and carbon monoxide by ASTM D1946–77 or 90 (Reapproved 1994) (Incorporated by reference as specified in §60.17); and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The maximum permitted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for flares complying with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4)(iii) shall be determined by the following equation.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Log</w:t>
      </w:r>
      <w:r w:rsidRPr="006D4EE5">
        <w:rPr>
          <w:rFonts w:ascii="Times New Roman" w:hAnsi="Times New Roman" w:cs="Times New Roman"/>
          <w:strike/>
          <w:sz w:val="20"/>
          <w:szCs w:val="20"/>
          <w:highlight w:val="yellow"/>
          <w:vertAlign w:val="subscript"/>
        </w:rPr>
        <w:t>10</w:t>
      </w:r>
      <w:r w:rsidRPr="006D4EE5">
        <w:rPr>
          <w:rFonts w:ascii="Times New Roman" w:hAnsi="Times New Roman" w:cs="Times New Roman"/>
          <w:strike/>
          <w:sz w:val="20"/>
          <w:szCs w:val="20"/>
          <w:highlight w:val="yellow"/>
        </w:rPr>
        <w:t>(</w:t>
      </w:r>
      <w:proofErr w:type="spellStart"/>
      <w:proofErr w:type="gramEnd"/>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+28.8)/31.7</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28.8=Constant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31.7=Constant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=The net heating value as determined in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The maximum permitted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for air-assisted flares shall be determined by the following equation.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=8.706+0.7084 (H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8.706=Constant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0.7084=Constant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=The net heating value as determined in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(g) </w:t>
      </w:r>
      <w:r w:rsidRPr="006D4EE5">
        <w:rPr>
          <w:rFonts w:ascii="Times New Roman" w:hAnsi="Times New Roman" w:cs="Times New Roman"/>
          <w:i/>
          <w:iCs/>
          <w:strike/>
          <w:sz w:val="20"/>
          <w:szCs w:val="20"/>
          <w:highlight w:val="yellow"/>
        </w:rPr>
        <w:t xml:space="preserve">Alternative work practice for monitoring equipment for leaks. </w:t>
      </w:r>
      <w:r w:rsidRPr="006D4EE5">
        <w:rPr>
          <w:rFonts w:ascii="Times New Roman" w:hAnsi="Times New Roman" w:cs="Times New Roman"/>
          <w:strike/>
          <w:sz w:val="20"/>
          <w:szCs w:val="20"/>
          <w:highlight w:val="yellow"/>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(5) of this section have meanings that are specific to the alternative work practice standard in paragraphs (g), (h), and (i)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Applicable subpart </w:t>
      </w:r>
      <w:r w:rsidRPr="006D4EE5">
        <w:rPr>
          <w:rFonts w:ascii="Times New Roman" w:hAnsi="Times New Roman" w:cs="Times New Roman"/>
          <w:strike/>
          <w:sz w:val="20"/>
          <w:szCs w:val="20"/>
          <w:highlight w:val="yellow"/>
        </w:rPr>
        <w:t>means the subpart in 40 CFR parts 60, 61, 63, or 65 that requires monitoring of equipment with a 40 CFR part 60, Appendix A–7, Method 21 monitor.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Equipment </w:t>
      </w:r>
      <w:r w:rsidRPr="006D4EE5">
        <w:rPr>
          <w:rFonts w:ascii="Times New Roman" w:hAnsi="Times New Roman" w:cs="Times New Roman"/>
          <w:strike/>
          <w:sz w:val="20"/>
          <w:szCs w:val="20"/>
          <w:highlight w:val="yellow"/>
        </w:rPr>
        <w:t>means pumps, valves, pressure relief valves, compressors, open-ended lines, flanges, connectors, and other equipment covered by the applicable subpart that require monitoring with a 40 CFR part 60, Appendix A–7, Method 21 monitor.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Imaging </w:t>
      </w:r>
      <w:r w:rsidRPr="006D4EE5">
        <w:rPr>
          <w:rFonts w:ascii="Times New Roman" w:hAnsi="Times New Roman" w:cs="Times New Roman"/>
          <w:strike/>
          <w:sz w:val="20"/>
          <w:szCs w:val="20"/>
          <w:highlight w:val="yellow"/>
        </w:rPr>
        <w:t>means making visible emissions that may otherwise be invisible to the naked eye.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Optical gas imaging instrument </w:t>
      </w:r>
      <w:r w:rsidRPr="006D4EE5">
        <w:rPr>
          <w:rFonts w:ascii="Times New Roman" w:hAnsi="Times New Roman" w:cs="Times New Roman"/>
          <w:strike/>
          <w:sz w:val="20"/>
          <w:szCs w:val="20"/>
          <w:highlight w:val="yellow"/>
        </w:rPr>
        <w:t>means an instrument that makes visible emissions that may otherwise be invisible to the naked eye.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w:t>
      </w:r>
      <w:r w:rsidRPr="006D4EE5">
        <w:rPr>
          <w:rFonts w:ascii="Times New Roman" w:hAnsi="Times New Roman" w:cs="Times New Roman"/>
          <w:i/>
          <w:iCs/>
          <w:strike/>
          <w:sz w:val="20"/>
          <w:szCs w:val="20"/>
          <w:highlight w:val="yellow"/>
        </w:rPr>
        <w:t xml:space="preserve">Repair </w:t>
      </w:r>
      <w:r w:rsidRPr="006D4EE5">
        <w:rPr>
          <w:rFonts w:ascii="Times New Roman" w:hAnsi="Times New Roman" w:cs="Times New Roman"/>
          <w:strike/>
          <w:sz w:val="20"/>
          <w:szCs w:val="20"/>
          <w:highlight w:val="yellow"/>
        </w:rPr>
        <w:t>means that equipment is adjusted, or otherwise altered, in order to eliminate a leak.</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w:t>
      </w:r>
      <w:r w:rsidRPr="006D4EE5">
        <w:rPr>
          <w:rFonts w:ascii="Times New Roman" w:hAnsi="Times New Roman" w:cs="Times New Roman"/>
          <w:i/>
          <w:iCs/>
          <w:strike/>
          <w:sz w:val="20"/>
          <w:szCs w:val="20"/>
          <w:highlight w:val="yellow"/>
        </w:rPr>
        <w:t xml:space="preserve">Leak </w:t>
      </w:r>
      <w:r w:rsidRPr="006D4EE5">
        <w:rPr>
          <w:rFonts w:ascii="Times New Roman" w:hAnsi="Times New Roman" w:cs="Times New Roman"/>
          <w:strike/>
          <w:sz w:val="20"/>
          <w:szCs w:val="20"/>
          <w:highlight w:val="yellow"/>
        </w:rPr>
        <w:t>means: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Any emissions imaged by the optical gas instrument;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Indications of liquids dripping;</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Indications by a sensor that a seal or barrier fluid system has failed; 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Screening</w:t>
      </w:r>
      <w:proofErr w:type="gramEnd"/>
      <w:r w:rsidRPr="006D4EE5">
        <w:rPr>
          <w:rFonts w:ascii="Times New Roman" w:hAnsi="Times New Roman" w:cs="Times New Roman"/>
          <w:strike/>
          <w:sz w:val="20"/>
          <w:szCs w:val="20"/>
          <w:highlight w:val="yellow"/>
        </w:rPr>
        <w:t xml:space="preserve"> results using a 40 CFR part 60, Appendix A–7, Method 21 monitor that exceed the leak definition in the applicable subpart to which the equipment is subject.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The alternative work practice standard for monitoring equipment for leaks is available to all subparts in 40 CFR parts 60, 61, 63, and 65 that require monitoring of equipment with a 40 CFR part 60, Appendix A–7, Method 21 monitor.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Any leak detected when following the leak survey procedure in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must be identified for repair as required in the applicable subpart.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schedule for repair is as required in the applicable subpart.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When this alternative work practice is used for detecting leaking equipment the following are not applicable for the equipment being monitored: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Skip period leak detection and repair;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Quality improvement plans; or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Complying with standards for allowable percentage of valves and pumps to leak.</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An owner or operator of an affected source who chooses to use the alternative work practice must comply with the requirements of paragraphs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(i)(5)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Instrument Specifications. The optical gas imaging instrument must comply with the requirements in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 and (i)(1)(ii)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Provide the operator with an image of the potential leak points for each piece of equipment at both the detection sensitivity level and within the distance used in the daily instrument check described in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 The detection sensitivity level depends upon the frequency at which leak monitoring is to be performed.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Provide a date and time stamp for video records of every monitoring event.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Calculate the mass flow rate to be used in the daily instrument check by following the procedures in paragraphs (i)(2)(i)(A) and (i)(2)(i)(B)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EB7550" w:rsidRPr="006D4EE5" w:rsidRDefault="00C718A9" w:rsidP="00EB7550">
      <w:pPr>
        <w:jc w:val="both"/>
        <w:rPr>
          <w:rStyle w:val="updatebodytest1"/>
          <w:strike/>
          <w:highlight w:val="yellow"/>
        </w:rPr>
      </w:pPr>
      <w:r w:rsidRPr="006D4EE5">
        <w:rPr>
          <w:strike/>
          <w:noProof/>
          <w:highlight w:val="yellow"/>
        </w:rPr>
        <w:drawing>
          <wp:inline distT="0" distB="0" distL="0" distR="0">
            <wp:extent cx="829945" cy="347980"/>
            <wp:effectExtent l="0" t="0" r="0" b="0"/>
            <wp:docPr id="16"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945" cy="347980"/>
                    </a:xfrm>
                    <a:prstGeom prst="rect">
                      <a:avLst/>
                    </a:prstGeom>
                    <a:noFill/>
                    <a:ln>
                      <a:noFill/>
                    </a:ln>
                  </pic:spPr>
                </pic:pic>
              </a:graphicData>
            </a:graphic>
          </wp:inline>
        </w:drawing>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dic</w:t>
      </w:r>
      <w:proofErr w:type="spellEnd"/>
      <w:r w:rsidRPr="006D4EE5">
        <w:rPr>
          <w:rFonts w:ascii="Times New Roman" w:hAnsi="Times New Roman" w:cs="Times New Roman"/>
          <w:strike/>
          <w:sz w:val="20"/>
          <w:szCs w:val="20"/>
          <w:highlight w:val="yellow"/>
        </w:rPr>
        <w:t>= Mass flow rate for the daily instrument check, grams per hour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i</w:t>
      </w:r>
      <w:proofErr w:type="gramEnd"/>
      <w:r w:rsidRPr="006D4EE5">
        <w:rPr>
          <w:rFonts w:ascii="Times New Roman" w:hAnsi="Times New Roman" w:cs="Times New Roman"/>
          <w:strike/>
          <w:sz w:val="20"/>
          <w:szCs w:val="20"/>
          <w:highlight w:val="yellow"/>
        </w:rPr>
        <w:t xml:space="preserve">= Mass fraction of detectable chemical(s) i seen by the optical gas imaging instrument, within the distance to be used in paragraph (i)(2)(iv)(B) of this section, at or below the standard detection sensitivity level, </w:t>
      </w: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sds</w:t>
      </w:r>
      <w:proofErr w:type="spellEnd"/>
      <w:r w:rsidRPr="006D4EE5">
        <w:rPr>
          <w:rFonts w:ascii="Times New Roman" w:hAnsi="Times New Roman" w:cs="Times New Roman"/>
          <w:strike/>
          <w:sz w:val="20"/>
          <w:szCs w:val="20"/>
          <w:highlight w:val="yellow"/>
        </w:rPr>
        <w: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sds</w:t>
      </w:r>
      <w:proofErr w:type="spellEnd"/>
      <w:r w:rsidRPr="006D4EE5">
        <w:rPr>
          <w:rFonts w:ascii="Times New Roman" w:hAnsi="Times New Roman" w:cs="Times New Roman"/>
          <w:strike/>
          <w:sz w:val="20"/>
          <w:szCs w:val="20"/>
          <w:highlight w:val="yellow"/>
        </w:rPr>
        <w:t>= Standard detection sensitivity level from Table 1 to subpart A, grams per hour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Total number of detectable chemicals emitted from the leaking equipment and seen by the optical gas imaging instrument.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Start the optical gas imaging instrument according to the manufacturer's instructions, ensuring that all appropriate settings conform to the manufacturer's instructions.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Use any gas chosen by the user that can be viewed by the optical gas imaging instrument and that has a purity of no less than 98 percent.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Establish</w:t>
      </w:r>
      <w:proofErr w:type="gramEnd"/>
      <w:r w:rsidRPr="006D4EE5">
        <w:rPr>
          <w:rFonts w:ascii="Times New Roman" w:hAnsi="Times New Roman" w:cs="Times New Roman"/>
          <w:strike/>
          <w:sz w:val="20"/>
          <w:szCs w:val="20"/>
          <w:highlight w:val="yellow"/>
        </w:rPr>
        <w:t xml:space="preserve"> a mass flow rate by using the following procedures: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Provide a source of gas where it will be in the field of view of the optical gas imaging instrument.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Set up the optical gas imaging instrument at a recorded distance from the outlet or leak orifice of the flow meter that will not be exceeded in the actual performance of the leak survey. Do not exceed the operating parameters of the flow meter.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Repeat the procedures specified in paragraphs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 through (i)(2)(iv) of this section for each configuration of the optical gas imaging instrument used during the leak survey.</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To</w:t>
      </w:r>
      <w:proofErr w:type="gramEnd"/>
      <w:r w:rsidRPr="006D4EE5">
        <w:rPr>
          <w:rFonts w:ascii="Times New Roman" w:hAnsi="Times New Roman" w:cs="Times New Roman"/>
          <w:strike/>
          <w:sz w:val="20"/>
          <w:szCs w:val="20"/>
          <w:highlight w:val="yellow"/>
        </w:rPr>
        <w:t xml:space="preserve"> use an alternative method to demonstrate daily instrument checks, apply to the Administrator for approval of the alternative under §60.13(i).</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Recordkeeping. You must keep the records described in paragraphs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4)(i) through (i)(4)(vii)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equipment, processes, and facilities for which the owner or operator chooses to use the alternative work practice.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detection sensitivity level selected from Table 1 to subpart A of this part for the optical gas imaging instrument.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analysis to determine the piece of equipment in contact with the lowest mass fraction of chemicals that are detectable, as specified in paragraph (i)(2)(i)(A)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The technical basis for the mass fraction of detectable chemicals used in the equation in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daily instrument check. Record the distance, per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Recordkeeping</w:t>
      </w:r>
      <w:proofErr w:type="gramEnd"/>
      <w:r w:rsidRPr="006D4EE5">
        <w:rPr>
          <w:rFonts w:ascii="Times New Roman" w:hAnsi="Times New Roman" w:cs="Times New Roman"/>
          <w:strike/>
          <w:sz w:val="20"/>
          <w:szCs w:val="20"/>
          <w:highlight w:val="yellow"/>
        </w:rPr>
        <w:t xml:space="preserve"> requirements in the applicable subpart. A video record must be used to document the leak survey results. The video record must include a time and date stamp for each monitoring event. A video record can be used to meet the recordkeeping </w:t>
      </w:r>
      <w:r w:rsidRPr="006D4EE5">
        <w:rPr>
          <w:rFonts w:ascii="Times New Roman" w:hAnsi="Times New Roman" w:cs="Times New Roman"/>
          <w:strike/>
          <w:sz w:val="20"/>
          <w:szCs w:val="20"/>
          <w:highlight w:val="yellow"/>
        </w:rPr>
        <w:lastRenderedPageBreak/>
        <w:t>requirements of the applicable subparts if each piece of regulated equipment selected for this work practice can be identified in the video record. The video record must be kept for 5 years.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The results of the annual Method 21 screening required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 of this section. Records must be kept for all regulated equipment specified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Records must identify the equipment screened, the screening value measured by Method 21, the time and date of the screening, and calibration information required in the existing applicable subpart.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Reporting. Submit the reports required in the applicable subpart. Submit the records of the annual Method 21 screening required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7) of this section to the Administrator via e-mail to </w:t>
      </w:r>
      <w:r w:rsidRPr="006D4EE5">
        <w:rPr>
          <w:rFonts w:ascii="Times New Roman" w:hAnsi="Times New Roman" w:cs="Times New Roman"/>
          <w:i/>
          <w:iCs/>
          <w:strike/>
          <w:sz w:val="20"/>
          <w:szCs w:val="20"/>
          <w:highlight w:val="yellow"/>
        </w:rPr>
        <w:t xml:space="preserve">CCG-AWP@EPA.GOV. </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[51 FR 2701, Jan. 21, 1986, as amended at 63 FR 24444, May 4, 1998; 65 FR 61752, Oct. 17, 2000; 73 FR 78209, Dec. 22, 2008]</w:t>
      </w:r>
    </w:p>
    <w:p w:rsidR="00EB7550" w:rsidRPr="006D4EE5" w:rsidRDefault="00EB7550" w:rsidP="00EB7550">
      <w:pPr>
        <w:pStyle w:val="Heading5"/>
        <w:spacing w:before="120"/>
        <w:jc w:val="both"/>
        <w:rPr>
          <w:strike/>
          <w:sz w:val="20"/>
          <w:szCs w:val="20"/>
          <w:highlight w:val="yellow"/>
        </w:rPr>
      </w:pPr>
      <w:r w:rsidRPr="006D4EE5">
        <w:rPr>
          <w:strike/>
          <w:sz w:val="20"/>
          <w:szCs w:val="20"/>
          <w:highlight w:val="yellow"/>
        </w:rPr>
        <w:t>§ 60.19   General notification and reporting requirements.</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For the purposes of this part, time periods specified in days shall be measured in calendar days, even if the word “calendar” is absent, unless otherwise specified in an applicable requirement.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6D4EE5">
        <w:rPr>
          <w:rFonts w:ascii="Times New Roman" w:hAnsi="Times New Roman" w:cs="Times New Roman"/>
          <w:strike/>
          <w:sz w:val="20"/>
          <w:szCs w:val="20"/>
          <w:highlight w:val="yellow"/>
        </w:rPr>
        <w:t>ies</w:t>
      </w:r>
      <w:proofErr w:type="spellEnd"/>
      <w:r w:rsidRPr="006D4EE5">
        <w:rPr>
          <w:rFonts w:ascii="Times New Roman" w:hAnsi="Times New Roman" w:cs="Times New Roman"/>
          <w:strike/>
          <w:sz w:val="20"/>
          <w:szCs w:val="20"/>
          <w:highlight w:val="yellow"/>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(f)(1)(i) Until an adjustment of a time period or postmark deadline has been approved by the Administrator under paragraphs (f)(2) and (f)(3) of this section, the owner or operator of an affected facility remains strictly subject to the requirements of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An owner or operator shall request the adjustment provided for in paragraphs (f)(2) and (f)(3) of this section each time he or she wishes to change an applicable time period or postmark deadline specified in this part.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 If the Administrator is unable to meet a specified deadline, he or she will notify the owner or operator of any significant delay and inform the owner or operator of the amended schedule.</w:t>
      </w:r>
    </w:p>
    <w:p w:rsidR="00EB7550" w:rsidRPr="006D4EE5" w:rsidRDefault="00EB7550" w:rsidP="00EB7550">
      <w:pPr>
        <w:pStyle w:val="NormalWeb"/>
        <w:spacing w:before="0" w:beforeAutospacing="0" w:after="0" w:afterAutospacing="0"/>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12428, Mar. 16, 1994, as amended at 64 FR 7463, Feb. 12, 1998]</w:t>
      </w:r>
    </w:p>
    <w:p w:rsidR="00EB7550" w:rsidRPr="006D4EE5" w:rsidRDefault="00EB7550" w:rsidP="00EB7550">
      <w:pPr>
        <w:pStyle w:val="tabletitle"/>
        <w:spacing w:before="0" w:beforeAutospacing="0" w:after="0" w:afterAutospacing="0"/>
        <w:jc w:val="both"/>
        <w:rPr>
          <w:strike/>
          <w:sz w:val="20"/>
          <w:szCs w:val="20"/>
          <w:highlight w:val="yellow"/>
        </w:rPr>
      </w:pPr>
      <w:r w:rsidRPr="006D4EE5">
        <w:rPr>
          <w:strike/>
          <w:sz w:val="20"/>
          <w:szCs w:val="20"/>
          <w:highlight w:val="yellow"/>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37"/>
        <w:gridCol w:w="4277"/>
      </w:tblGrid>
      <w:tr w:rsidR="00EB7550" w:rsidRPr="006D4EE5" w:rsidTr="0031683A">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 xml:space="preserve">Monitoring frequency per </w:t>
            </w:r>
            <w:proofErr w:type="spellStart"/>
            <w:r w:rsidRPr="006D4EE5">
              <w:rPr>
                <w:rFonts w:eastAsia="Calibri"/>
                <w:b/>
                <w:bCs/>
                <w:strike/>
                <w:highlight w:val="yellow"/>
              </w:rPr>
              <w:t>subpart</w:t>
            </w:r>
            <w:r w:rsidRPr="006D4EE5">
              <w:rPr>
                <w:rFonts w:eastAsia="Calibri"/>
                <w:b/>
                <w:bCs/>
                <w:strike/>
                <w:highlight w:val="yellow"/>
                <w:vertAlign w:val="superscript"/>
              </w:rPr>
              <w:t>a</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B7550" w:rsidRPr="006D4EE5" w:rsidRDefault="00EB7550" w:rsidP="0031683A">
            <w:pPr>
              <w:jc w:val="both"/>
              <w:rPr>
                <w:rFonts w:eastAsia="Calibri"/>
                <w:b/>
                <w:bCs/>
                <w:strike/>
                <w:highlight w:val="yellow"/>
              </w:rPr>
            </w:pPr>
            <w:r w:rsidRPr="006D4EE5">
              <w:rPr>
                <w:rFonts w:eastAsia="Calibri"/>
                <w:b/>
                <w:bCs/>
                <w:strike/>
                <w:highlight w:val="yellow"/>
              </w:rPr>
              <w:t>Detection sensitivity level</w:t>
            </w: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60</w:t>
            </w: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85</w:t>
            </w:r>
          </w:p>
        </w:tc>
      </w:tr>
      <w:tr w:rsidR="00EB7550" w:rsidRPr="006D4EE5" w:rsidTr="0031683A">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EB7550" w:rsidRPr="006D4EE5" w:rsidRDefault="00EB7550" w:rsidP="0031683A">
            <w:pPr>
              <w:jc w:val="both"/>
              <w:rPr>
                <w:rFonts w:eastAsia="Calibri"/>
                <w:strike/>
                <w:highlight w:val="yellow"/>
              </w:rPr>
            </w:pPr>
            <w:r w:rsidRPr="006D4EE5">
              <w:rPr>
                <w:rFonts w:eastAsia="Calibri"/>
                <w:strike/>
                <w:highlight w:val="yellow"/>
              </w:rPr>
              <w:t>100</w:t>
            </w:r>
          </w:p>
        </w:tc>
      </w:tr>
    </w:tbl>
    <w:p w:rsidR="00EB7550" w:rsidRPr="006D4EE5" w:rsidRDefault="00EB7550" w:rsidP="00EB7550">
      <w:pPr>
        <w:pStyle w:val="tablenote"/>
        <w:spacing w:before="0" w:beforeAutospacing="0" w:after="0" w:afterAutospacing="0"/>
        <w:jc w:val="both"/>
        <w:rPr>
          <w:strike/>
          <w:sz w:val="20"/>
          <w:szCs w:val="20"/>
          <w:highlight w:val="yellow"/>
        </w:rPr>
      </w:pPr>
      <w:proofErr w:type="spellStart"/>
      <w:proofErr w:type="gramStart"/>
      <w:r w:rsidRPr="006D4EE5">
        <w:rPr>
          <w:strike/>
          <w:sz w:val="20"/>
          <w:szCs w:val="20"/>
          <w:highlight w:val="yellow"/>
          <w:vertAlign w:val="superscript"/>
        </w:rPr>
        <w:t>a</w:t>
      </w:r>
      <w:r w:rsidRPr="006D4EE5">
        <w:rPr>
          <w:strike/>
          <w:sz w:val="20"/>
          <w:szCs w:val="20"/>
          <w:highlight w:val="yellow"/>
        </w:rPr>
        <w:t>When</w:t>
      </w:r>
      <w:proofErr w:type="spellEnd"/>
      <w:proofErr w:type="gramEnd"/>
      <w:r w:rsidRPr="006D4EE5">
        <w:rPr>
          <w:strike/>
          <w:sz w:val="20"/>
          <w:szCs w:val="20"/>
          <w:highlight w:val="yellow"/>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B7550" w:rsidRPr="006D4EE5" w:rsidRDefault="00EB7550" w:rsidP="00EB7550">
      <w:pPr>
        <w:jc w:val="both"/>
        <w:rPr>
          <w:strike/>
          <w:sz w:val="20"/>
        </w:rPr>
      </w:pPr>
      <w:r w:rsidRPr="006D4EE5">
        <w:rPr>
          <w:strike/>
          <w:sz w:val="20"/>
          <w:highlight w:val="yellow"/>
        </w:rPr>
        <w:t>[73 FR 78211, Dec. 22, 2008]</w:t>
      </w:r>
    </w:p>
    <w:p w:rsidR="00EB7550" w:rsidRPr="006D4EE5" w:rsidRDefault="00EB7550" w:rsidP="00EB7550">
      <w:pPr>
        <w:jc w:val="both"/>
        <w:rPr>
          <w:strike/>
        </w:rPr>
        <w:sectPr w:rsidR="00EB7550" w:rsidRPr="006D4EE5" w:rsidSect="0031683A">
          <w:headerReference w:type="even" r:id="rId34"/>
          <w:headerReference w:type="default" r:id="rId35"/>
          <w:footerReference w:type="default" r:id="rId36"/>
          <w:headerReference w:type="first" r:id="rId37"/>
          <w:pgSz w:w="12240" w:h="15840" w:code="1"/>
          <w:pgMar w:top="1008" w:right="1008" w:bottom="1008" w:left="1008" w:header="720" w:footer="576" w:gutter="0"/>
          <w:paperSrc w:first="7" w:other="7"/>
          <w:pgNumType w:start="1"/>
          <w:cols w:space="720"/>
        </w:sectPr>
      </w:pP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lastRenderedPageBreak/>
        <w:t>Source:</w:t>
      </w:r>
      <w:r w:rsidRPr="006D4EE5">
        <w:rPr>
          <w:rFonts w:ascii="Times New Roman" w:hAnsi="Times New Roman" w:cs="Times New Roman"/>
          <w:strike/>
          <w:sz w:val="20"/>
          <w:szCs w:val="20"/>
          <w:highlight w:val="yellow"/>
        </w:rPr>
        <w:t xml:space="preserve">   61 FR 9919, Mar. 12, 1996, unless otherwise noted. </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60.750   Applicability, designation of affected facility, and delegation of authority.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following authorities shall be retained by the Administrator and not transferred to the State: §60.754(a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Activities required by or conducted pursuant to a CERCLA, RCRA, or State remedial action are not considered construction, reconstruction, or modification for purposes of this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32750, June 16, 1998]</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60.751   Definitions.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As used in this subpart, all terms not defined herein shall have the meaning given them in the Act or in subpart A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Active collection system </w:t>
      </w:r>
      <w:r w:rsidRPr="006D4EE5">
        <w:rPr>
          <w:rFonts w:ascii="Times New Roman" w:hAnsi="Times New Roman" w:cs="Times New Roman"/>
          <w:strike/>
          <w:sz w:val="20"/>
          <w:szCs w:val="20"/>
          <w:highlight w:val="yellow"/>
        </w:rPr>
        <w:t>means a gas collection system that uses gas mover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Active landfill </w:t>
      </w:r>
      <w:r w:rsidRPr="006D4EE5">
        <w:rPr>
          <w:rFonts w:ascii="Times New Roman" w:hAnsi="Times New Roman" w:cs="Times New Roman"/>
          <w:strike/>
          <w:sz w:val="20"/>
          <w:szCs w:val="20"/>
          <w:highlight w:val="yellow"/>
        </w:rPr>
        <w:t>means a landfill in which solid waste is being placed or a landfill that is planned to accept waste in the future.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Closed landfill </w:t>
      </w:r>
      <w:r w:rsidRPr="006D4EE5">
        <w:rPr>
          <w:rFonts w:ascii="Times New Roman" w:hAnsi="Times New Roman" w:cs="Times New Roman"/>
          <w:strike/>
          <w:sz w:val="20"/>
          <w:szCs w:val="20"/>
          <w:highlight w:val="yellow"/>
        </w:rPr>
        <w:t>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Closure </w:t>
      </w:r>
      <w:r w:rsidRPr="006D4EE5">
        <w:rPr>
          <w:rFonts w:ascii="Times New Roman" w:hAnsi="Times New Roman" w:cs="Times New Roman"/>
          <w:strike/>
          <w:sz w:val="20"/>
          <w:szCs w:val="20"/>
          <w:highlight w:val="yellow"/>
        </w:rPr>
        <w:t>means that point in time when a landfill becomes a closed landfill.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Commercial solid waste </w:t>
      </w:r>
      <w:r w:rsidRPr="006D4EE5">
        <w:rPr>
          <w:rFonts w:ascii="Times New Roman" w:hAnsi="Times New Roman" w:cs="Times New Roman"/>
          <w:strike/>
          <w:sz w:val="20"/>
          <w:szCs w:val="20"/>
          <w:highlight w:val="yellow"/>
        </w:rPr>
        <w:t>means all types of solid waste generated by stores, offices, restaurants, warehouses, and other nonmanufacturing activities, excluding residential and industrial wastes.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Controlled landfill </w:t>
      </w:r>
      <w:r w:rsidRPr="006D4EE5">
        <w:rPr>
          <w:rFonts w:ascii="Times New Roman" w:hAnsi="Times New Roman" w:cs="Times New Roman"/>
          <w:strike/>
          <w:sz w:val="20"/>
          <w:szCs w:val="20"/>
          <w:highlight w:val="yellow"/>
        </w:rPr>
        <w:t>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Design capacity </w:t>
      </w:r>
      <w:r w:rsidRPr="006D4EE5">
        <w:rPr>
          <w:rFonts w:ascii="Times New Roman" w:hAnsi="Times New Roman" w:cs="Times New Roman"/>
          <w:strike/>
          <w:sz w:val="20"/>
          <w:szCs w:val="20"/>
          <w:highlight w:val="yellow"/>
        </w:rPr>
        <w:t>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Disposal facility </w:t>
      </w:r>
      <w:r w:rsidRPr="006D4EE5">
        <w:rPr>
          <w:rFonts w:ascii="Times New Roman" w:hAnsi="Times New Roman" w:cs="Times New Roman"/>
          <w:strike/>
          <w:sz w:val="20"/>
          <w:szCs w:val="20"/>
          <w:highlight w:val="yellow"/>
        </w:rPr>
        <w:t>means all contiguous land and structures, other appurtenances, and improvements on the land used for the disposal of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Emission rate cutoff </w:t>
      </w:r>
      <w:r w:rsidRPr="006D4EE5">
        <w:rPr>
          <w:rFonts w:ascii="Times New Roman" w:hAnsi="Times New Roman" w:cs="Times New Roman"/>
          <w:strike/>
          <w:sz w:val="20"/>
          <w:szCs w:val="20"/>
          <w:highlight w:val="yellow"/>
        </w:rPr>
        <w:t>means the threshold annual emission rate to which a landfill compares its estimated emission rate to determine if control under the regulation is required.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Enclosed combustor </w:t>
      </w:r>
      <w:r w:rsidRPr="006D4EE5">
        <w:rPr>
          <w:rFonts w:ascii="Times New Roman" w:hAnsi="Times New Roman" w:cs="Times New Roman"/>
          <w:strike/>
          <w:sz w:val="20"/>
          <w:szCs w:val="20"/>
          <w:highlight w:val="yellow"/>
        </w:rPr>
        <w:t>means an enclosed firebox which maintains a relatively constant limited peak temperature generally using a limited supply of combustion air. An enclosed flare is considered an enclosed combustor.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Flare </w:t>
      </w:r>
      <w:r w:rsidRPr="006D4EE5">
        <w:rPr>
          <w:rFonts w:ascii="Times New Roman" w:hAnsi="Times New Roman" w:cs="Times New Roman"/>
          <w:strike/>
          <w:sz w:val="20"/>
          <w:szCs w:val="20"/>
          <w:highlight w:val="yellow"/>
        </w:rPr>
        <w:t>means an open combustor without enclosure or shroud.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Gas mover equipment </w:t>
      </w:r>
      <w:r w:rsidRPr="006D4EE5">
        <w:rPr>
          <w:rFonts w:ascii="Times New Roman" w:hAnsi="Times New Roman" w:cs="Times New Roman"/>
          <w:strike/>
          <w:sz w:val="20"/>
          <w:szCs w:val="20"/>
          <w:highlight w:val="yellow"/>
        </w:rPr>
        <w:t xml:space="preserve">means the equipment (i.e., fan, blower, </w:t>
      </w:r>
      <w:proofErr w:type="gramStart"/>
      <w:r w:rsidRPr="006D4EE5">
        <w:rPr>
          <w:rFonts w:ascii="Times New Roman" w:hAnsi="Times New Roman" w:cs="Times New Roman"/>
          <w:strike/>
          <w:sz w:val="20"/>
          <w:szCs w:val="20"/>
          <w:highlight w:val="yellow"/>
        </w:rPr>
        <w:t>compressor</w:t>
      </w:r>
      <w:proofErr w:type="gramEnd"/>
      <w:r w:rsidRPr="006D4EE5">
        <w:rPr>
          <w:rFonts w:ascii="Times New Roman" w:hAnsi="Times New Roman" w:cs="Times New Roman"/>
          <w:strike/>
          <w:sz w:val="20"/>
          <w:szCs w:val="20"/>
          <w:highlight w:val="yellow"/>
        </w:rPr>
        <w:t>) used to transport landfill gas through the header system.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Household waste </w:t>
      </w:r>
      <w:r w:rsidRPr="006D4EE5">
        <w:rPr>
          <w:rFonts w:ascii="Times New Roman" w:hAnsi="Times New Roman" w:cs="Times New Roman"/>
          <w:strike/>
          <w:sz w:val="20"/>
          <w:szCs w:val="20"/>
          <w:highlight w:val="yellow"/>
        </w:rPr>
        <w:t>means any solid waste (including garbage, trash, and sanitary waste in septic tanks) derived from households (including, but not limited to, single and multiple residences, hotels and motels, bunkhouses, ranger stations, crew quarters, campgrounds, picnic grounds, and day-use recreation areas).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Industrial solid waste </w:t>
      </w:r>
      <w:r w:rsidRPr="006D4EE5">
        <w:rPr>
          <w:rFonts w:ascii="Times New Roman" w:hAnsi="Times New Roman" w:cs="Times New Roman"/>
          <w:strike/>
          <w:sz w:val="20"/>
          <w:szCs w:val="20"/>
          <w:highlight w:val="yellow"/>
        </w:rPr>
        <w:t>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Interior well </w:t>
      </w:r>
      <w:r w:rsidRPr="006D4EE5">
        <w:rPr>
          <w:rFonts w:ascii="Times New Roman" w:hAnsi="Times New Roman" w:cs="Times New Roman"/>
          <w:strike/>
          <w:sz w:val="20"/>
          <w:szCs w:val="20"/>
          <w:highlight w:val="yellow"/>
        </w:rPr>
        <w:t>means any well or similar collection component located inside the perimeter of the landfill waste. A perimeter well located outside the landfilled waste is not an interior well.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Landfill </w:t>
      </w:r>
      <w:r w:rsidRPr="006D4EE5">
        <w:rPr>
          <w:rFonts w:ascii="Times New Roman" w:hAnsi="Times New Roman" w:cs="Times New Roman"/>
          <w:strike/>
          <w:sz w:val="20"/>
          <w:szCs w:val="20"/>
          <w:highlight w:val="yellow"/>
        </w:rPr>
        <w:t>means an area of land or an excavation in which wastes are placed for permanent disposal, and that is not a land application unit, surface impoundment, injection well, or waste pile as those terms are defined under §257.2 of this title.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Lateral expansion </w:t>
      </w:r>
      <w:r w:rsidRPr="006D4EE5">
        <w:rPr>
          <w:rFonts w:ascii="Times New Roman" w:hAnsi="Times New Roman" w:cs="Times New Roman"/>
          <w:strike/>
          <w:sz w:val="20"/>
          <w:szCs w:val="20"/>
          <w:highlight w:val="yellow"/>
        </w:rPr>
        <w:t>means a horizontal expansion of the waste boundaries of an existing MSW landfill. A lateral expansion is not a modification unless it results in an increase in the design capacity of the landfill.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Modification </w:t>
      </w:r>
      <w:r w:rsidRPr="006D4EE5">
        <w:rPr>
          <w:rFonts w:ascii="Times New Roman" w:hAnsi="Times New Roman" w:cs="Times New Roman"/>
          <w:strike/>
          <w:sz w:val="20"/>
          <w:szCs w:val="20"/>
          <w:highlight w:val="yellow"/>
        </w:rPr>
        <w:t>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Municipal solid waste landfill </w:t>
      </w:r>
      <w:r w:rsidRPr="006D4EE5">
        <w:rPr>
          <w:rFonts w:ascii="Times New Roman" w:hAnsi="Times New Roman" w:cs="Times New Roman"/>
          <w:strike/>
          <w:sz w:val="20"/>
          <w:szCs w:val="20"/>
          <w:highlight w:val="yellow"/>
        </w:rPr>
        <w:t xml:space="preserve">or </w:t>
      </w:r>
      <w:r w:rsidRPr="006D4EE5">
        <w:rPr>
          <w:rFonts w:ascii="Times New Roman" w:hAnsi="Times New Roman" w:cs="Times New Roman"/>
          <w:i/>
          <w:iCs/>
          <w:strike/>
          <w:sz w:val="20"/>
          <w:szCs w:val="20"/>
          <w:highlight w:val="yellow"/>
        </w:rPr>
        <w:t xml:space="preserve">MSW landfill </w:t>
      </w:r>
      <w:r w:rsidRPr="006D4EE5">
        <w:rPr>
          <w:rFonts w:ascii="Times New Roman" w:hAnsi="Times New Roman" w:cs="Times New Roman"/>
          <w:strike/>
          <w:sz w:val="20"/>
          <w:szCs w:val="20"/>
          <w:highlight w:val="yellow"/>
        </w:rPr>
        <w:t>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Municipal solid waste landfill emissions </w:t>
      </w:r>
      <w:r w:rsidRPr="006D4EE5">
        <w:rPr>
          <w:rFonts w:ascii="Times New Roman" w:hAnsi="Times New Roman" w:cs="Times New Roman"/>
          <w:strike/>
          <w:sz w:val="20"/>
          <w:szCs w:val="20"/>
          <w:highlight w:val="yellow"/>
        </w:rPr>
        <w:t xml:space="preserve">or </w:t>
      </w:r>
      <w:r w:rsidRPr="006D4EE5">
        <w:rPr>
          <w:rFonts w:ascii="Times New Roman" w:hAnsi="Times New Roman" w:cs="Times New Roman"/>
          <w:i/>
          <w:iCs/>
          <w:strike/>
          <w:sz w:val="20"/>
          <w:szCs w:val="20"/>
          <w:highlight w:val="yellow"/>
        </w:rPr>
        <w:t xml:space="preserve">MSW landfill emissions </w:t>
      </w:r>
      <w:r w:rsidRPr="006D4EE5">
        <w:rPr>
          <w:rFonts w:ascii="Times New Roman" w:hAnsi="Times New Roman" w:cs="Times New Roman"/>
          <w:strike/>
          <w:sz w:val="20"/>
          <w:szCs w:val="20"/>
          <w:highlight w:val="yellow"/>
        </w:rPr>
        <w:t>means gas generated by the decomposition of organic waste deposited in an MSW landfill or derived from the evolution of organic compounds in the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NMOC </w:t>
      </w:r>
      <w:r w:rsidRPr="006D4EE5">
        <w:rPr>
          <w:rFonts w:ascii="Times New Roman" w:hAnsi="Times New Roman" w:cs="Times New Roman"/>
          <w:strike/>
          <w:sz w:val="20"/>
          <w:szCs w:val="20"/>
          <w:highlight w:val="yellow"/>
        </w:rPr>
        <w:t>means nonmethane organic compounds, as measured according to the provisions of §60.754.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Nondegradable waste </w:t>
      </w:r>
      <w:r w:rsidRPr="006D4EE5">
        <w:rPr>
          <w:rFonts w:ascii="Times New Roman" w:hAnsi="Times New Roman" w:cs="Times New Roman"/>
          <w:strike/>
          <w:sz w:val="20"/>
          <w:szCs w:val="20"/>
          <w:highlight w:val="yellow"/>
        </w:rPr>
        <w:t>means any waste that does not decompose through chemical breakdown or microbiological activity. Examples are, but are not limited to, concrete, municipal waste combustor ash, and metals.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Passive collection system </w:t>
      </w:r>
      <w:r w:rsidRPr="006D4EE5">
        <w:rPr>
          <w:rFonts w:ascii="Times New Roman" w:hAnsi="Times New Roman" w:cs="Times New Roman"/>
          <w:strike/>
          <w:sz w:val="20"/>
          <w:szCs w:val="20"/>
          <w:highlight w:val="yellow"/>
        </w:rPr>
        <w:t>means a gas collection system that solely uses positive pressure within the landfill to move the gas rather than using gas mover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Sludge </w:t>
      </w:r>
      <w:r w:rsidRPr="006D4EE5">
        <w:rPr>
          <w:rFonts w:ascii="Times New Roman" w:hAnsi="Times New Roman" w:cs="Times New Roman"/>
          <w:strike/>
          <w:sz w:val="20"/>
          <w:szCs w:val="20"/>
          <w:highlight w:val="yellow"/>
        </w:rPr>
        <w:t>means any solid, semisolid, or liquid waste generated from a municipal, commercial, or industrial wastewater treatment plant, water supply treatment plant, or air pollution control facility, exclusive of the treated effluent from a wastewater treatment plant.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Solid waste </w:t>
      </w:r>
      <w:r w:rsidRPr="006D4EE5">
        <w:rPr>
          <w:rFonts w:ascii="Times New Roman" w:hAnsi="Times New Roman" w:cs="Times New Roman"/>
          <w:strike/>
          <w:sz w:val="20"/>
          <w:szCs w:val="20"/>
          <w:highlight w:val="yellow"/>
        </w:rPr>
        <w:t xml:space="preserve">means any garbage, sludge from a wastewater treatment plant, water supply treatment plant, or air pollution control facility and other discarded material, including solid, liquid, semisolid, or contained gaseous material resulting from industrial, </w:t>
      </w:r>
      <w:r w:rsidRPr="006D4EE5">
        <w:rPr>
          <w:rFonts w:ascii="Times New Roman" w:hAnsi="Times New Roman" w:cs="Times New Roman"/>
          <w:strike/>
          <w:sz w:val="20"/>
          <w:szCs w:val="20"/>
          <w:highlight w:val="yellow"/>
        </w:rPr>
        <w:lastRenderedPageBreak/>
        <w:t>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et seq.).</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Sufficient density </w:t>
      </w:r>
      <w:r w:rsidRPr="006D4EE5">
        <w:rPr>
          <w:rFonts w:ascii="Times New Roman" w:hAnsi="Times New Roman" w:cs="Times New Roman"/>
          <w:strike/>
          <w:sz w:val="20"/>
          <w:szCs w:val="20"/>
          <w:highlight w:val="yellow"/>
        </w:rPr>
        <w:t>means any number, spacing, and combination of collection system components, including vertical wells, horizontal collectors, and surface collectors, necessary to maintain emission and migration control as determined by measures of performance set forth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Sufficient extraction rate </w:t>
      </w:r>
      <w:r w:rsidRPr="006D4EE5">
        <w:rPr>
          <w:rFonts w:ascii="Times New Roman" w:hAnsi="Times New Roman" w:cs="Times New Roman"/>
          <w:strike/>
          <w:sz w:val="20"/>
          <w:szCs w:val="20"/>
          <w:highlight w:val="yellow"/>
        </w:rPr>
        <w:t>means a rate sufficient to maintain a negative pressure at all wellheads in the collection system without causing air infiltration, including any wellheads connected to the system as a result of expansion or excess surface emissions, for the life of the blower.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32750, June 16, 1998; 64 FR 9262, Feb. 24, 1999]</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60.752   Standards for air emissions from municipal solid waste landfills.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(a)(2)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owner or operator shall submit to the Administrator an amended design capacity report, as provided for in §60.757(a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 of this subpart. The owner or operator of an MSW landfill subject to this subpart with a design capacity greater than or equal to 2.5 million megagrams and 2.5 million cubic meters is subject to part 70 or 71 permitting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If the calculated NMOC emission rate is less than 50 megagrams per year, the owner or operator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Submit an annual emission report to the Administrator, except as provided for in §60.757(b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Recalculate the NMOC emission rate annually using the procedures specified in §60.754(a)(1) until such time as the calculated NMOC emission rate is equal to or greater than 50 megagrams per year, or the landfill is closed.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the NMOC emission rate, upon recalculation required in paragraph (b)(1)(ii) of this section, is equal to or greater than 50 megagrams per year, the owner or operator shall install a collection and control system in compliance with paragraph (b)(2)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the landfill is permanently closed, a closure notification shall be submitted to the Administrator as provided for in §60.757(d).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the calculated NMOC emission rate is equal to or greater than 50 megagrams per year, the owner or operator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 Submit a collection and control system design plan prepared by a professional engineer to the Administrator within 1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collection and control system as described in the plan shall meet the design requirements of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collection and control system design plan shall include any alternatives to the operational standards, test methods, procedures, compliance measures, monitoring, recordkeeping or reporting provisions of §§60.753 through 60.758 proposed by the owner or operator.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The collection and control system design plan shall either conform </w:t>
      </w:r>
      <w:proofErr w:type="gramStart"/>
      <w:r w:rsidRPr="006D4EE5">
        <w:rPr>
          <w:rFonts w:ascii="Times New Roman" w:hAnsi="Times New Roman" w:cs="Times New Roman"/>
          <w:strike/>
          <w:sz w:val="20"/>
          <w:szCs w:val="20"/>
          <w:highlight w:val="yellow"/>
        </w:rPr>
        <w:t>with</w:t>
      </w:r>
      <w:proofErr w:type="gramEnd"/>
      <w:r w:rsidRPr="006D4EE5">
        <w:rPr>
          <w:rFonts w:ascii="Times New Roman" w:hAnsi="Times New Roman" w:cs="Times New Roman"/>
          <w:strike/>
          <w:sz w:val="20"/>
          <w:szCs w:val="20"/>
          <w:highlight w:val="yellow"/>
        </w:rPr>
        <w:t xml:space="preserve"> specifications for active collection systems in §60.759 or include a demonstration to the Administrator's satisfaction of the sufficiency of the alternative provisions to §60.759.</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Administrator shall review the information submitted under paragraphs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An active collection system shall:</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1</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Be designed to handle the maximum expected gas flow rate from the entire area of the landfill that warrants control over the intended use period of the gas control or treatment system equipment;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2</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Collect gas from each area, cell, or group of cells in the landfill in which the initial solid waste has been placed for a period of:</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i</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5 years or more if active; or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ii</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2 years or more if closed or at final grade.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3</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Collect gas at a sufficient extraction rate;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4</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Be designed to minimize off-site migration of subsurface gas.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 passive collection system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 xml:space="preserve">) Comply with the provisions specified in paragraphs (b)(2)(ii)(A)( </w:t>
      </w: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 xml:space="preserve">), ( </w:t>
      </w:r>
      <w:r w:rsidRPr="006D4EE5">
        <w:rPr>
          <w:rFonts w:ascii="Times New Roman" w:hAnsi="Times New Roman" w:cs="Times New Roman"/>
          <w:i/>
          <w:iCs/>
          <w:strike/>
          <w:sz w:val="20"/>
          <w:szCs w:val="20"/>
          <w:highlight w:val="yellow"/>
        </w:rPr>
        <w:t xml:space="preserve">2 </w:t>
      </w:r>
      <w:r w:rsidRPr="006D4EE5">
        <w:rPr>
          <w:rFonts w:ascii="Times New Roman" w:hAnsi="Times New Roman" w:cs="Times New Roman"/>
          <w:strike/>
          <w:sz w:val="20"/>
          <w:szCs w:val="20"/>
          <w:highlight w:val="yellow"/>
        </w:rPr>
        <w:t xml:space="preserve">), and (2)(ii)(A)( </w:t>
      </w:r>
      <w:r w:rsidRPr="006D4EE5">
        <w:rPr>
          <w:rFonts w:ascii="Times New Roman" w:hAnsi="Times New Roman" w:cs="Times New Roman"/>
          <w:i/>
          <w:iCs/>
          <w:strike/>
          <w:sz w:val="20"/>
          <w:szCs w:val="20"/>
          <w:highlight w:val="yellow"/>
        </w:rPr>
        <w:t xml:space="preserve">4 </w:t>
      </w:r>
      <w:r w:rsidRPr="006D4EE5">
        <w:rPr>
          <w:rFonts w:ascii="Times New Roman" w:hAnsi="Times New Roman" w:cs="Times New Roman"/>
          <w:strike/>
          <w:sz w:val="20"/>
          <w:szCs w:val="20"/>
          <w:highlight w:val="yellow"/>
        </w:rPr>
        <w:t>) of this section.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2</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Be installed with liners on the bottom and all sides in all areas in which gas is to be collected. The liners shall be installed as required under §258.40.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Route all the collected gas to a control system that complies with the requirements in either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(A), (B) or (C)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An open flare designed and operated in accordance with §60.18 except as noted in §60.754(e);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1</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If a boiler or process heater is used as the control device, the landfill gas stream shall be introduced into the flame zone.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2</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The control device shall be operated within the parameter ranges established during the initial or most recent performance test. The operating parameters to be monitored are specified in §60.756;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Route the collected gas to a treatment system that processes the collected gas for subsequent sale or use. All emissions from any atmospheric vent from the gas treatment system shall be subject to the requirements of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(A) or (B) of this section.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Operate</w:t>
      </w:r>
      <w:proofErr w:type="gramEnd"/>
      <w:r w:rsidRPr="006D4EE5">
        <w:rPr>
          <w:rFonts w:ascii="Times New Roman" w:hAnsi="Times New Roman" w:cs="Times New Roman"/>
          <w:strike/>
          <w:sz w:val="20"/>
          <w:szCs w:val="20"/>
          <w:highlight w:val="yellow"/>
        </w:rPr>
        <w:t xml:space="preserve"> the collection and control device installed to comply with this subpart in accordance with the provisions of §§60.753, 60.755 and 60.756.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collection and control system may be capped or removed provided that all the conditions of paragraphs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(A), (B), and (C) of this section are met: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landfill shall be a closed landfill as defined in §60.751 of this subpart. A closure report shall be submitted to the Administrator as provided in §60.757(d);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collection and control system shall have been in operation a minimum of 15 years;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§§70.5(a)(1)(i) or 71.5(a)(1)(i) of this chapter, regardless of when the design capacity report is actually submitted, no later than: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June 10, 1996 for MSW landfills that commenced construction, modification, or reconstruction on or after May 30, 1991 but before March 12, 1996;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Ninety days after the date of commenced construction, modification, or reconstruction for MSW landfills that commence construction, modification, or reconstruction on or after March 12, 1996.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landfill was never subject to the requirement for a control system under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meets the conditions for control system removal specified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[61 FR 9919, Mar. 12, 1996, as amended at 63 FR 32751, June 16, 1998; 65 FR 18908, Apr. 10, 2000; 71 FR 55127, Sept. 21, 2006]</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60.753   Operational standards for collection and control systems.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Each owner or operator of an MSW landfill with a gas collection and control system used to comply with the provisions of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 of this subpart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Operate the collection system such that gas is collected from each area, cell, or group of cells in the MSW landfill in which solid waste has been in place for: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5 years or more if active;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2 years or more if closed or at final grade;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Operate the collection system with negative pressure at each wellhead except under the following conditions: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fire or increased well temperature. The owner or operator shall record instances when positive pressure occurs in efforts to avoid a fire. These records shall be submitted with the annual reports as provided in §60.757(f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Use of a geomembrane or synthetic cover. The owner or operator shall develop acceptable pressure limits in the design plan;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 decommissioned well. A well may experience a static positive pressure after shut down to accommodate for declining flows. All design changes shall be approved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nitrogen level shall be determined using Method 3C, unless an alternative test method is established as allowed by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 of this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Unless an alternative test method is established as allowed by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 of this subpart, the oxygen shall be determined by an oxygen meter using Method 3A or 3C except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span shall be set so that the regulatory limit is between 20 and 50 percent of the span;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 data recorder is not required;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Only two calibration gases are required, a zero and span, and ambient air may be used as the span;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A</w:t>
      </w:r>
      <w:proofErr w:type="gramEnd"/>
      <w:r w:rsidRPr="006D4EE5">
        <w:rPr>
          <w:rFonts w:ascii="Times New Roman" w:hAnsi="Times New Roman" w:cs="Times New Roman"/>
          <w:strike/>
          <w:sz w:val="20"/>
          <w:szCs w:val="20"/>
          <w:highlight w:val="yellow"/>
        </w:rPr>
        <w:t xml:space="preserve"> calibration error check is not required;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allowable sample bias, zero drift, and calibration drift are ±10 percent.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w:t>
      </w:r>
      <w:r w:rsidRPr="006D4EE5">
        <w:rPr>
          <w:rFonts w:ascii="Times New Roman" w:hAnsi="Times New Roman" w:cs="Times New Roman"/>
          <w:strike/>
          <w:sz w:val="20"/>
          <w:szCs w:val="20"/>
          <w:highlight w:val="yellow"/>
        </w:rPr>
        <w:lastRenderedPageBreak/>
        <w:t>be developed that includes a topographical map with the monitoring route and the rationale for any site-specific deviations from the 30 meter intervals. Areas with steep slopes or other dangerous areas may be excluded from the surface testing.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Operate the system such that all collected gases are vented to a control system designed and operated in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In the event the collection or control system is inoperable, the gas mover system shall be shut down and all valves in the collection and control system contributing to venting of the gas to the atmosphere shall be closed within 1 hour;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Operate the control or treatment system at all times when the collected gas is routed to the system.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If monitoring demonstrates that the operational requirements in paragraphs (b), (c), or (d) of this section are not met, corrective action shall be taken as specified in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through (5) or §60.755(c) of this subpart. If corrective actions are taken as specified in §60.755, the monitored exceedance is not a violation of the operational requirements in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32751, June 16, 1998; 65 FR 61778, Oct. 17, 2000]</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60.754   Test methods and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(a)(1) The landfill owner or operator shall calculate the NMOC emission rate using either the equation provided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 of this section or the equation provided in paragraph (a)(1)(ii) of this section.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 and 4,000 parts per million by volume as hexane for the 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xml:space="preserve">. For landfills located in geographical areas with a thirty year annual average precipitation of less than 25 inches, as measured at the nearest representative official </w:t>
      </w:r>
      <w:proofErr w:type="spellStart"/>
      <w:r w:rsidRPr="006D4EE5">
        <w:rPr>
          <w:rFonts w:ascii="Times New Roman" w:hAnsi="Times New Roman" w:cs="Times New Roman"/>
          <w:strike/>
          <w:sz w:val="20"/>
          <w:szCs w:val="20"/>
          <w:highlight w:val="yellow"/>
        </w:rPr>
        <w:t>meteorologic</w:t>
      </w:r>
      <w:proofErr w:type="spellEnd"/>
      <w:r w:rsidRPr="006D4EE5">
        <w:rPr>
          <w:rFonts w:ascii="Times New Roman" w:hAnsi="Times New Roman" w:cs="Times New Roman"/>
          <w:strike/>
          <w:sz w:val="20"/>
          <w:szCs w:val="20"/>
          <w:highlight w:val="yellow"/>
        </w:rPr>
        <w:t xml:space="preserve"> site, the k value to be used is 0.02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following equation shall be used if the actual year-to-year solid waste acceptance rate is known.</w:t>
      </w:r>
    </w:p>
    <w:p w:rsidR="00EB7550" w:rsidRPr="006D4EE5" w:rsidRDefault="00C718A9" w:rsidP="00EB7550">
      <w:pPr>
        <w:spacing w:after="240"/>
        <w:jc w:val="both"/>
        <w:rPr>
          <w:rStyle w:val="updatebodytest1"/>
          <w:rFonts w:ascii="Times New Roman" w:hAnsi="Times New Roman" w:cs="Times New Roman"/>
          <w:strike/>
          <w:sz w:val="20"/>
          <w:szCs w:val="20"/>
          <w:highlight w:val="yellow"/>
        </w:rPr>
      </w:pPr>
      <w:r w:rsidRPr="006D4EE5">
        <w:rPr>
          <w:strike/>
          <w:noProof/>
          <w:sz w:val="20"/>
          <w:highlight w:val="yellow"/>
        </w:rPr>
        <w:drawing>
          <wp:inline distT="0" distB="0" distL="0" distR="0">
            <wp:extent cx="2933700" cy="421005"/>
            <wp:effectExtent l="0" t="0" r="0" b="0"/>
            <wp:docPr id="4" name="Picture 4"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2mr9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33700" cy="421005"/>
                    </a:xfrm>
                    <a:prstGeom prst="rect">
                      <a:avLst/>
                    </a:prstGeom>
                    <a:noFill/>
                    <a:ln>
                      <a:noFill/>
                    </a:ln>
                  </pic:spPr>
                </pic:pic>
              </a:graphicData>
            </a:graphic>
          </wp:inline>
        </w:drawing>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=Total NMOC emission rate from the landfill,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k=methane generation rate constant, year</w:t>
      </w:r>
      <w:r w:rsidRPr="006D4EE5">
        <w:rPr>
          <w:rFonts w:ascii="Times New Roman" w:hAnsi="Times New Roman" w:cs="Times New Roman"/>
          <w:strike/>
          <w:sz w:val="20"/>
          <w:szCs w:val="20"/>
          <w:highlight w:val="yellow"/>
          <w:vertAlign w:val="superscript"/>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=methane generation potential, cubic meters per megagram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=mass of solid waste in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megagrams</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proofErr w:type="gramStart"/>
      <w:r w:rsidRPr="006D4EE5">
        <w:rPr>
          <w:rFonts w:ascii="Times New Roman" w:hAnsi="Times New Roman" w:cs="Times New Roman"/>
          <w:strike/>
          <w:sz w:val="20"/>
          <w:szCs w:val="20"/>
          <w:highlight w:val="yellow"/>
        </w:rPr>
        <w:t>t</w:t>
      </w:r>
      <w:r w:rsidRPr="006D4EE5">
        <w:rPr>
          <w:rFonts w:ascii="Times New Roman" w:hAnsi="Times New Roman" w:cs="Times New Roman"/>
          <w:strike/>
          <w:sz w:val="20"/>
          <w:szCs w:val="20"/>
          <w:highlight w:val="yellow"/>
          <w:vertAlign w:val="subscript"/>
        </w:rPr>
        <w:t>i</w:t>
      </w:r>
      <w:proofErr w:type="spellEnd"/>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age of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=concentration of NMOC, parts per million by volume as hexane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 × 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=conversion factor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The mass of nondegradable solid waste may be subtracted from the total mass of solid waste in a particular section of the landfill when calculating the value for </w:t>
      </w:r>
      <w:proofErr w:type="spellStart"/>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if</w:t>
      </w:r>
      <w:proofErr w:type="spellEnd"/>
      <w:r w:rsidRPr="006D4EE5">
        <w:rPr>
          <w:rFonts w:ascii="Times New Roman" w:hAnsi="Times New Roman" w:cs="Times New Roman"/>
          <w:strike/>
          <w:sz w:val="20"/>
          <w:szCs w:val="20"/>
          <w:highlight w:val="yellow"/>
        </w:rPr>
        <w:t xml:space="preserve"> documentation of the nature and amount of such wastes is maintained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The following equation shall be used if the actual year-to-year solid waste acceptance rate is unknown.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2L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R (e</w:t>
      </w:r>
      <w:r w:rsidRPr="006D4EE5">
        <w:rPr>
          <w:rFonts w:ascii="Times New Roman" w:hAnsi="Times New Roman" w:cs="Times New Roman"/>
          <w:strike/>
          <w:sz w:val="20"/>
          <w:szCs w:val="20"/>
          <w:highlight w:val="yellow"/>
          <w:vertAlign w:val="superscript"/>
        </w:rPr>
        <w:t>−kc</w:t>
      </w:r>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perscript"/>
        </w:rPr>
        <w:t>−</w:t>
      </w:r>
      <w:proofErr w:type="spellStart"/>
      <w:r w:rsidRPr="006D4EE5">
        <w:rPr>
          <w:rFonts w:ascii="Times New Roman" w:hAnsi="Times New Roman" w:cs="Times New Roman"/>
          <w:strike/>
          <w:sz w:val="20"/>
          <w:szCs w:val="20"/>
          <w:highlight w:val="yellow"/>
          <w:vertAlign w:val="superscript"/>
        </w:rPr>
        <w:t>kt</w:t>
      </w:r>
      <w:proofErr w:type="spellEnd"/>
      <w:r w:rsidRPr="006D4EE5">
        <w:rPr>
          <w:rFonts w:ascii="Times New Roman" w:hAnsi="Times New Roman" w:cs="Times New Roman"/>
          <w:strike/>
          <w:sz w:val="20"/>
          <w:szCs w:val="20"/>
          <w:highlight w:val="yellow"/>
        </w:rPr>
        <w:t xml:space="preserve">) </w:t>
      </w:r>
      <w:proofErr w:type="gram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3.6 × 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=mass emission rate of NMOC,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=methane generation potential, cubic meters per megagram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R=average annual acceptance rate,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k=methane generation rate constant, year</w:t>
      </w:r>
      <w:r w:rsidRPr="006D4EE5">
        <w:rPr>
          <w:rFonts w:ascii="Times New Roman" w:hAnsi="Times New Roman" w:cs="Times New Roman"/>
          <w:strike/>
          <w:sz w:val="20"/>
          <w:szCs w:val="20"/>
          <w:highlight w:val="yellow"/>
          <w:vertAlign w:val="superscript"/>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 = age of landfill,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=concentration of NMOC, parts per million by volume as hexane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c=time since closure, years; for active landfill c=O and e</w:t>
      </w:r>
      <w:r w:rsidRPr="006D4EE5">
        <w:rPr>
          <w:rFonts w:ascii="Times New Roman" w:hAnsi="Times New Roman" w:cs="Times New Roman"/>
          <w:strike/>
          <w:sz w:val="20"/>
          <w:szCs w:val="20"/>
          <w:highlight w:val="yellow"/>
          <w:vertAlign w:val="superscript"/>
        </w:rPr>
        <w:t>−kc</w:t>
      </w:r>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3.6×10−9=conversion factor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The mass of nondegradable solid waste may be subtracted from the total mass of solid waste in a particular section of the landfill when calculating the value of R, if documentation of the nature and amount of such wastes is maintained.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Tier 1. </w:t>
      </w:r>
      <w:r w:rsidRPr="006D4EE5">
        <w:rPr>
          <w:rFonts w:ascii="Times New Roman" w:hAnsi="Times New Roman" w:cs="Times New Roman"/>
          <w:strike/>
          <w:sz w:val="20"/>
          <w:szCs w:val="20"/>
          <w:highlight w:val="yellow"/>
        </w:rPr>
        <w:t>The owner or operator shall compare the calculated NMOC mass emission rate to the standard of 50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If the NMOC emission rate calculated in paragraph (a)(1) of this section is less than 50 megagrams per year, then the landfill owner shall submit an emission rate report as provided in §60.757(b)(1), and shall recalculate the NMOC mass emission rate annually as required under §60.752(b)(1).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Tier 2. </w:t>
      </w:r>
      <w:r w:rsidRPr="006D4EE5">
        <w:rPr>
          <w:rFonts w:ascii="Times New Roman" w:hAnsi="Times New Roman" w:cs="Times New Roman"/>
          <w:strike/>
          <w:sz w:val="20"/>
          <w:szCs w:val="20"/>
          <w:highlight w:val="yellow"/>
        </w:rPr>
        <w:t xml:space="preserve">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as</w:t>
      </w:r>
      <w:proofErr w:type="spellEnd"/>
      <w:r w:rsidRPr="006D4EE5">
        <w:rPr>
          <w:rFonts w:ascii="Times New Roman" w:hAnsi="Times New Roman" w:cs="Times New Roman"/>
          <w:strike/>
          <w:sz w:val="20"/>
          <w:szCs w:val="20"/>
          <w:highlight w:val="yellow"/>
        </w:rPr>
        <w:t xml:space="preserve"> hexane by multiplying by the ratio of its carbon atoms divided by six. If more than the required number of samples are taken, all samples must be used in the analysis. The landfill owner or operator must divide the NMOC concentration from Method 25 or </w:t>
      </w:r>
      <w:r w:rsidRPr="006D4EE5">
        <w:rPr>
          <w:rFonts w:ascii="Times New Roman" w:hAnsi="Times New Roman" w:cs="Times New Roman"/>
          <w:strike/>
          <w:sz w:val="20"/>
          <w:szCs w:val="20"/>
          <w:highlight w:val="yellow"/>
        </w:rPr>
        <w:lastRenderedPageBreak/>
        <w:t xml:space="preserve">25C of appendix A of this part by six to convert from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as</w:t>
      </w:r>
      <w:proofErr w:type="spellEnd"/>
      <w:r w:rsidRPr="006D4EE5">
        <w:rPr>
          <w:rFonts w:ascii="Times New Roman" w:hAnsi="Times New Roman" w:cs="Times New Roman"/>
          <w:strike/>
          <w:sz w:val="20"/>
          <w:szCs w:val="20"/>
          <w:highlight w:val="yellow"/>
        </w:rPr>
        <w:t xml:space="preserve"> carbon to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as</w:t>
      </w:r>
      <w:proofErr w:type="spellEnd"/>
      <w:r w:rsidRPr="006D4EE5">
        <w:rPr>
          <w:rFonts w:ascii="Times New Roman" w:hAnsi="Times New Roman" w:cs="Times New Roman"/>
          <w:strike/>
          <w:sz w:val="20"/>
          <w:szCs w:val="20"/>
          <w:highlight w:val="yellow"/>
        </w:rPr>
        <w:t xml:space="preserve">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landfill owner or operator shall recalculate the NMOC mass emission rate using the equations provided in paragraph (a)(1)(i) or (a)(1)(ii) of this section and using the average NMOC concentration from the collected samples instead of the default value in the equation provided in paragraph (a)(1)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the resulting mass emission rate calculated using the site-specific NMOC concentration is equal to or greater than 50 megagrams per year, then the landfill owner or operator shall either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or determine the site-specific methane generation rate constant and recalculate the NMOC emission rate using the site-specific methane generation rate using the procedure specified in paragraph (a)(4)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Tier 3. </w:t>
      </w:r>
      <w:r w:rsidRPr="006D4EE5">
        <w:rPr>
          <w:rFonts w:ascii="Times New Roman" w:hAnsi="Times New Roman" w:cs="Times New Roman"/>
          <w:strike/>
          <w:sz w:val="20"/>
          <w:szCs w:val="20"/>
          <w:highlight w:val="yellow"/>
        </w:rPr>
        <w:t>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If the NMOC mass emission rate as calculated using the site-specific methane generation rate and concentration of NMOC is equal to or greater than 50 megagrams per year, the owner or operator shall comply with §60.752(b)(2).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owner or operator may use other methods to determine the NMOC concentration or a site-specific k as an alternative to the methods required in paragraphs (a)(3) and (a)(4) of this section if the method has been approved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After the installation of a collection and control system in compliance with §60.755, the owner or operator shall calculate the NMOC emission rate for purposes of determining when the system can be removed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using the following equation: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1.89 × 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LFG</w:t>
      </w: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mass emission rate of NMOC,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LFG</w:t>
      </w:r>
      <w:r w:rsidRPr="006D4EE5">
        <w:rPr>
          <w:rFonts w:ascii="Times New Roman" w:hAnsi="Times New Roman" w:cs="Times New Roman"/>
          <w:strike/>
          <w:sz w:val="20"/>
          <w:szCs w:val="20"/>
          <w:highlight w:val="yellow"/>
        </w:rPr>
        <w:t>= flow rate of landfill gas, cubic meters per minute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NMOC concentration, parts per million by volume as hexane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(1) The flow rate of landfill gas, Q</w:t>
      </w:r>
      <w:r w:rsidRPr="006D4EE5">
        <w:rPr>
          <w:rFonts w:ascii="Times New Roman" w:hAnsi="Times New Roman" w:cs="Times New Roman"/>
          <w:strike/>
          <w:sz w:val="20"/>
          <w:szCs w:val="20"/>
          <w:highlight w:val="yellow"/>
          <w:vertAlign w:val="subscript"/>
        </w:rPr>
        <w:t>LFG</w:t>
      </w:r>
      <w:r w:rsidRPr="006D4EE5">
        <w:rPr>
          <w:rFonts w:ascii="Times New Roman" w:hAnsi="Times New Roman" w:cs="Times New Roman"/>
          <w:strike/>
          <w:sz w:val="20"/>
          <w:szCs w:val="20"/>
          <w:highlight w:val="yellow"/>
        </w:rPr>
        <w:t>, shall be determined by measuring the total landfill gas flow rate at the common header pipe that leads to the control device using a gas flow measuring device calibrated according to the provisions of section 4 of Method 2E of appendix A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average NMOC concentration, 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xml:space="preserve">,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as</w:t>
      </w:r>
      <w:proofErr w:type="spellEnd"/>
      <w:r w:rsidRPr="006D4EE5">
        <w:rPr>
          <w:rFonts w:ascii="Times New Roman" w:hAnsi="Times New Roman" w:cs="Times New Roman"/>
          <w:strike/>
          <w:sz w:val="20"/>
          <w:szCs w:val="20"/>
          <w:highlight w:val="yellow"/>
        </w:rPr>
        <w:t xml:space="preserve"> carbon to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as</w:t>
      </w:r>
      <w:proofErr w:type="spellEnd"/>
      <w:r w:rsidRPr="006D4EE5">
        <w:rPr>
          <w:rFonts w:ascii="Times New Roman" w:hAnsi="Times New Roman" w:cs="Times New Roman"/>
          <w:strike/>
          <w:sz w:val="20"/>
          <w:szCs w:val="20"/>
          <w:highlight w:val="yellow"/>
        </w:rPr>
        <w:t xml:space="preserve"> hexane.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owner or operator may use another method to determine landfill gas flow rate and NMOC concentration if the method has been approved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For the performance test required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2)(iii)(B), Method 25, 25C, or Method 18 of appendix A of this part must be used to determine compliance with the 98 weight-percent efficiency or the 20 ppmv outlet concentration level, unless another method to demonstrate compliance has been approved by the Administrator as provided by §60.752(b)(2)(i)(B).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Control Efficiency = (</w:t>
      </w:r>
      <w:proofErr w:type="spellStart"/>
      <w:r w:rsidRPr="006D4EE5">
        <w:rPr>
          <w:rFonts w:ascii="Times New Roman" w:hAnsi="Times New Roman" w:cs="Times New Roman"/>
          <w:strike/>
          <w:sz w:val="20"/>
          <w:szCs w:val="20"/>
          <w:highlight w:val="yellow"/>
        </w:rPr>
        <w:t>NMOC</w:t>
      </w:r>
      <w:r w:rsidRPr="006D4EE5">
        <w:rPr>
          <w:rFonts w:ascii="Times New Roman" w:hAnsi="Times New Roman" w:cs="Times New Roman"/>
          <w:strike/>
          <w:sz w:val="20"/>
          <w:szCs w:val="20"/>
          <w:highlight w:val="yellow"/>
          <w:vertAlign w:val="subscript"/>
        </w:rPr>
        <w:t>in</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NMOC</w:t>
      </w:r>
      <w:r w:rsidRPr="006D4EE5">
        <w:rPr>
          <w:rFonts w:ascii="Times New Roman" w:hAnsi="Times New Roman" w:cs="Times New Roman"/>
          <w:strike/>
          <w:sz w:val="20"/>
          <w:szCs w:val="20"/>
          <w:highlight w:val="yellow"/>
          <w:vertAlign w:val="subscript"/>
        </w:rPr>
        <w:t>out</w:t>
      </w:r>
      <w:proofErr w:type="spellEnd"/>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w:t>
      </w:r>
      <w:proofErr w:type="spellStart"/>
      <w:proofErr w:type="gramEnd"/>
      <w:r w:rsidRPr="006D4EE5">
        <w:rPr>
          <w:rFonts w:ascii="Times New Roman" w:hAnsi="Times New Roman" w:cs="Times New Roman"/>
          <w:strike/>
          <w:sz w:val="20"/>
          <w:szCs w:val="20"/>
          <w:highlight w:val="yellow"/>
        </w:rPr>
        <w:t>NMOC</w:t>
      </w:r>
      <w:r w:rsidRPr="006D4EE5">
        <w:rPr>
          <w:rFonts w:ascii="Times New Roman" w:hAnsi="Times New Roman" w:cs="Times New Roman"/>
          <w:strike/>
          <w:sz w:val="20"/>
          <w:szCs w:val="20"/>
          <w:highlight w:val="yellow"/>
          <w:vertAlign w:val="subscript"/>
        </w:rPr>
        <w:t>in</w:t>
      </w:r>
      <w:proofErr w:type="spell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NMOC</w:t>
      </w:r>
      <w:r w:rsidRPr="006D4EE5">
        <w:rPr>
          <w:rFonts w:ascii="Times New Roman" w:hAnsi="Times New Roman" w:cs="Times New Roman"/>
          <w:strike/>
          <w:sz w:val="20"/>
          <w:szCs w:val="20"/>
          <w:highlight w:val="yellow"/>
          <w:vertAlign w:val="subscript"/>
        </w:rPr>
        <w:t>in</w:t>
      </w:r>
      <w:proofErr w:type="spellEnd"/>
      <w:r w:rsidRPr="006D4EE5">
        <w:rPr>
          <w:rFonts w:ascii="Times New Roman" w:hAnsi="Times New Roman" w:cs="Times New Roman"/>
          <w:strike/>
          <w:sz w:val="20"/>
          <w:szCs w:val="20"/>
          <w:highlight w:val="yellow"/>
        </w:rPr>
        <w:t>= mass of NMOC entering control device</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NMOC</w:t>
      </w:r>
      <w:r w:rsidRPr="006D4EE5">
        <w:rPr>
          <w:rFonts w:ascii="Times New Roman" w:hAnsi="Times New Roman" w:cs="Times New Roman"/>
          <w:strike/>
          <w:sz w:val="20"/>
          <w:szCs w:val="20"/>
          <w:highlight w:val="yellow"/>
          <w:vertAlign w:val="subscript"/>
        </w:rPr>
        <w:t>out</w:t>
      </w:r>
      <w:proofErr w:type="spellEnd"/>
      <w:r w:rsidRPr="006D4EE5">
        <w:rPr>
          <w:rFonts w:ascii="Times New Roman" w:hAnsi="Times New Roman" w:cs="Times New Roman"/>
          <w:strike/>
          <w:sz w:val="20"/>
          <w:szCs w:val="20"/>
          <w:highlight w:val="yellow"/>
        </w:rPr>
        <w:t>= mass of NMOC exiting control device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For the performance test required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32751, June 16, 1998; 65 FR 18908, Apr. 10, 2000; 65 FR 61778, Oct. 17, 2000; 71 FR 55127, Sept. 21, 2006]</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60.755   Compliance provisions.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Except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 the specified methods in paragraphs (a)(1) through (a)(6) of this section shall be used to determine whether the gas collection system is in compliance with §60.752(b)(2)(ii).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For the purposes of calculating the maximum expected gas generation flow rate from the landfill to determine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2)(ii)(A)( </w:t>
      </w: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 xml:space="preserve">), one of the following equations shall be used. The k and </w:t>
      </w:r>
      <w:proofErr w:type="spellStart"/>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kinetic</w:t>
      </w:r>
      <w:proofErr w:type="spellEnd"/>
      <w:r w:rsidRPr="006D4EE5">
        <w:rPr>
          <w:rFonts w:ascii="Times New Roman" w:hAnsi="Times New Roman" w:cs="Times New Roman"/>
          <w:strike/>
          <w:sz w:val="20"/>
          <w:szCs w:val="20"/>
          <w:highlight w:val="yellow"/>
        </w:rPr>
        <w:t xml:space="preserve"> factors should be those published in the most recent Compilation of Air Pollutant Emission Factors (AP–42) or other site specific values demonstrated to be appropriate and approved by the Administrator. If k has been determined as specified in §60.754(a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4), the value of k determined </w:t>
      </w:r>
      <w:r w:rsidRPr="006D4EE5">
        <w:rPr>
          <w:rFonts w:ascii="Times New Roman" w:hAnsi="Times New Roman" w:cs="Times New Roman"/>
          <w:strike/>
          <w:sz w:val="20"/>
          <w:szCs w:val="20"/>
          <w:highlight w:val="yellow"/>
        </w:rPr>
        <w:lastRenderedPageBreak/>
        <w:t>from the test shall be used. A value of no more than 15 years shall be used for the intended use period of the gas mover equipment. The active life of the landfill is the age of the landfill plus the estimated number of years until closure.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For sites with unknown year-to-year solid waste acceptance rate:</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proofErr w:type="gramStart"/>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m</w:t>
      </w:r>
      <w:proofErr w:type="spellEnd"/>
      <w:proofErr w:type="gramEnd"/>
      <w:r w:rsidRPr="006D4EE5">
        <w:rPr>
          <w:rFonts w:ascii="Times New Roman" w:hAnsi="Times New Roman" w:cs="Times New Roman"/>
          <w:strike/>
          <w:sz w:val="20"/>
          <w:szCs w:val="20"/>
          <w:highlight w:val="yellow"/>
        </w:rPr>
        <w:t>= 2L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R (e</w:t>
      </w:r>
      <w:r w:rsidRPr="006D4EE5">
        <w:rPr>
          <w:rFonts w:ascii="Times New Roman" w:hAnsi="Times New Roman" w:cs="Times New Roman"/>
          <w:strike/>
          <w:sz w:val="20"/>
          <w:szCs w:val="20"/>
          <w:highlight w:val="yellow"/>
          <w:vertAlign w:val="superscript"/>
        </w:rPr>
        <w:t>−kc</w:t>
      </w:r>
      <w:r w:rsidRPr="006D4EE5">
        <w:rPr>
          <w:rFonts w:ascii="Times New Roman" w:hAnsi="Times New Roman" w:cs="Times New Roman"/>
          <w:strike/>
          <w:sz w:val="20"/>
          <w:szCs w:val="20"/>
          <w:highlight w:val="yellow"/>
        </w:rPr>
        <w:t>− e</w:t>
      </w:r>
      <w:r w:rsidRPr="006D4EE5">
        <w:rPr>
          <w:rFonts w:ascii="Times New Roman" w:hAnsi="Times New Roman" w:cs="Times New Roman"/>
          <w:strike/>
          <w:sz w:val="20"/>
          <w:szCs w:val="20"/>
          <w:highlight w:val="yellow"/>
          <w:vertAlign w:val="superscript"/>
        </w:rPr>
        <w:t>−</w:t>
      </w:r>
      <w:proofErr w:type="spellStart"/>
      <w:r w:rsidRPr="006D4EE5">
        <w:rPr>
          <w:rFonts w:ascii="Times New Roman" w:hAnsi="Times New Roman" w:cs="Times New Roman"/>
          <w:strike/>
          <w:sz w:val="20"/>
          <w:szCs w:val="20"/>
          <w:highlight w:val="yellow"/>
          <w:vertAlign w:val="superscript"/>
        </w:rPr>
        <w:t>kt</w:t>
      </w:r>
      <w:proofErr w:type="spell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proofErr w:type="gramStart"/>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m</w:t>
      </w:r>
      <w:proofErr w:type="spellEnd"/>
      <w:proofErr w:type="gramEnd"/>
      <w:r w:rsidRPr="006D4EE5">
        <w:rPr>
          <w:rFonts w:ascii="Times New Roman" w:hAnsi="Times New Roman" w:cs="Times New Roman"/>
          <w:strike/>
          <w:sz w:val="20"/>
          <w:szCs w:val="20"/>
          <w:highlight w:val="yellow"/>
        </w:rPr>
        <w:t>= maximum expected gas generation flow rate, cubic meters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 methane generation potential, cubic meters per megagram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 = average annual acceptance rate,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methane generation rate constant, year</w:t>
      </w:r>
      <w:r w:rsidRPr="006D4EE5">
        <w:rPr>
          <w:rFonts w:ascii="Times New Roman" w:hAnsi="Times New Roman" w:cs="Times New Roman"/>
          <w:strike/>
          <w:sz w:val="20"/>
          <w:szCs w:val="20"/>
          <w:highlight w:val="yellow"/>
          <w:vertAlign w:val="superscript"/>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 time since closure, years (for an active landfill c = O and e</w:t>
      </w:r>
      <w:r w:rsidRPr="006D4EE5">
        <w:rPr>
          <w:rFonts w:ascii="Times New Roman" w:hAnsi="Times New Roman" w:cs="Times New Roman"/>
          <w:strike/>
          <w:sz w:val="20"/>
          <w:szCs w:val="20"/>
          <w:highlight w:val="yellow"/>
          <w:vertAlign w:val="superscript"/>
        </w:rPr>
        <w:t>−kc</w:t>
      </w:r>
      <w:r w:rsidRPr="006D4EE5">
        <w:rPr>
          <w:rFonts w:ascii="Times New Roman" w:hAnsi="Times New Roman" w:cs="Times New Roman"/>
          <w:strike/>
          <w:sz w:val="20"/>
          <w:szCs w:val="20"/>
          <w:highlight w:val="yellow"/>
        </w:rPr>
        <w:t>= 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For sites with known year-to-year solid waste acceptance rate:</w:t>
      </w:r>
    </w:p>
    <w:p w:rsidR="00EB7550" w:rsidRPr="006D4EE5" w:rsidRDefault="00C718A9" w:rsidP="00EB7550">
      <w:pPr>
        <w:spacing w:after="240"/>
        <w:jc w:val="both"/>
        <w:rPr>
          <w:rStyle w:val="updatebodytest1"/>
          <w:rFonts w:ascii="Times New Roman" w:hAnsi="Times New Roman" w:cs="Times New Roman"/>
          <w:strike/>
          <w:sz w:val="20"/>
          <w:szCs w:val="20"/>
          <w:highlight w:val="yellow"/>
        </w:rPr>
      </w:pPr>
      <w:r w:rsidRPr="006D4EE5">
        <w:rPr>
          <w:strike/>
          <w:noProof/>
          <w:sz w:val="20"/>
          <w:highlight w:val="yellow"/>
        </w:rPr>
        <w:drawing>
          <wp:inline distT="0" distB="0" distL="0" distR="0">
            <wp:extent cx="1576070" cy="421005"/>
            <wp:effectExtent l="0" t="0" r="0" b="0"/>
            <wp:docPr id="5" name="Picture 5"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2mr9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76070" cy="421005"/>
                    </a:xfrm>
                    <a:prstGeom prst="rect">
                      <a:avLst/>
                    </a:prstGeom>
                    <a:noFill/>
                    <a:ln>
                      <a:noFill/>
                    </a:ln>
                  </pic:spPr>
                </pic:pic>
              </a:graphicData>
            </a:graphic>
          </wp:inline>
        </w:drawing>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M</w:t>
      </w:r>
      <w:r w:rsidRPr="006D4EE5">
        <w:rPr>
          <w:rFonts w:ascii="Times New Roman" w:hAnsi="Times New Roman" w:cs="Times New Roman"/>
          <w:strike/>
          <w:sz w:val="20"/>
          <w:szCs w:val="20"/>
          <w:highlight w:val="yellow"/>
        </w:rPr>
        <w:t>=maximum expected gas generation flow rate, cubic meters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k=methane generation rate constant, year</w:t>
      </w:r>
      <w:r w:rsidRPr="006D4EE5">
        <w:rPr>
          <w:rFonts w:ascii="Times New Roman" w:hAnsi="Times New Roman" w:cs="Times New Roman"/>
          <w:strike/>
          <w:sz w:val="20"/>
          <w:szCs w:val="20"/>
          <w:highlight w:val="yellow"/>
          <w:vertAlign w:val="superscript"/>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=methane generation potential, cubic meters per megagram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=mass of solid waste in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megagrams</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proofErr w:type="gramStart"/>
      <w:r w:rsidRPr="006D4EE5">
        <w:rPr>
          <w:rFonts w:ascii="Times New Roman" w:hAnsi="Times New Roman" w:cs="Times New Roman"/>
          <w:strike/>
          <w:sz w:val="20"/>
          <w:szCs w:val="20"/>
          <w:highlight w:val="yellow"/>
        </w:rPr>
        <w:t>t</w:t>
      </w:r>
      <w:r w:rsidRPr="006D4EE5">
        <w:rPr>
          <w:rFonts w:ascii="Times New Roman" w:hAnsi="Times New Roman" w:cs="Times New Roman"/>
          <w:strike/>
          <w:sz w:val="20"/>
          <w:szCs w:val="20"/>
          <w:highlight w:val="yellow"/>
          <w:vertAlign w:val="subscript"/>
        </w:rPr>
        <w:t>i</w:t>
      </w:r>
      <w:proofErr w:type="spellEnd"/>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age of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a collection and control system has been installed, actual flow data may be used to project the maximum expected gas generation flow rate instead of, or in conjunction with, the equations in paragraphs (a)(1) (i) and (ii) of this section.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the purposes of determining sufficient density of gas collectors for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2)(ii)(A)( </w:t>
      </w:r>
      <w:r w:rsidRPr="006D4EE5">
        <w:rPr>
          <w:rFonts w:ascii="Times New Roman" w:hAnsi="Times New Roman" w:cs="Times New Roman"/>
          <w:i/>
          <w:iCs/>
          <w:strike/>
          <w:sz w:val="20"/>
          <w:szCs w:val="20"/>
          <w:highlight w:val="yellow"/>
        </w:rPr>
        <w:t xml:space="preserve">2 </w:t>
      </w:r>
      <w:r w:rsidRPr="006D4EE5">
        <w:rPr>
          <w:rFonts w:ascii="Times New Roman" w:hAnsi="Times New Roman" w:cs="Times New Roman"/>
          <w:strike/>
          <w:sz w:val="20"/>
          <w:szCs w:val="20"/>
          <w:highlight w:val="yellow"/>
        </w:rPr>
        <w:t>),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 For the purpose of demonstrating whether the gas collection system flow rate is sufficient to determine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2)(ii)(A)( </w:t>
      </w:r>
      <w:r w:rsidRPr="006D4EE5">
        <w:rPr>
          <w:rFonts w:ascii="Times New Roman" w:hAnsi="Times New Roman" w:cs="Times New Roman"/>
          <w:i/>
          <w:iCs/>
          <w:strike/>
          <w:sz w:val="20"/>
          <w:szCs w:val="20"/>
          <w:highlight w:val="yellow"/>
        </w:rPr>
        <w:t xml:space="preserve">3 </w:t>
      </w:r>
      <w:r w:rsidRPr="006D4EE5">
        <w:rPr>
          <w:rFonts w:ascii="Times New Roman" w:hAnsi="Times New Roman" w:cs="Times New Roman"/>
          <w:strike/>
          <w:sz w:val="20"/>
          <w:szCs w:val="20"/>
          <w:highlight w:val="yellow"/>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Owners or operators are not required to expand the system as required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during the first 180 days after gas collection system startup.</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An owner or operator seeking to demonstrate compliance with §60.752(b)(2)(ii)(A)( </w:t>
      </w:r>
      <w:r w:rsidRPr="006D4EE5">
        <w:rPr>
          <w:rFonts w:ascii="Times New Roman" w:hAnsi="Times New Roman" w:cs="Times New Roman"/>
          <w:i/>
          <w:iCs/>
          <w:strike/>
          <w:sz w:val="20"/>
          <w:szCs w:val="20"/>
          <w:highlight w:val="yellow"/>
        </w:rPr>
        <w:t xml:space="preserve">4 </w:t>
      </w:r>
      <w:r w:rsidRPr="006D4EE5">
        <w:rPr>
          <w:rFonts w:ascii="Times New Roman" w:hAnsi="Times New Roman" w:cs="Times New Roman"/>
          <w:strike/>
          <w:sz w:val="20"/>
          <w:szCs w:val="20"/>
          <w:highlight w:val="yellow"/>
        </w:rPr>
        <w:t>) through the use of a collection system not conforming to the specifications provided in §60.759 shall provide information satisfactory to the Administrator as specified in §60.752(b)(2)(i)(C) demonstrating that off-site migration is being controlled.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For purposes of compliance with §60.753(a), each owner or operator of a controlled landfill shall place each well or design component as specified in the approved design plan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 Each well shall be installed no later than 60 days after the date on which the initial solid waste has been in place for a period of: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5 years or more if active;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2 years or more if closed or at final grade.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following procedures shall be used for compliance with the surface methane operational standard as provided in §60.753(d).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background concentration shall be determined by moving the probe inlet upwind and downwind outside the boundary of the landfill at a distance of at least 30 meters from the perimeter wells.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Surface emission monitoring shall be performed in accordance with section 4.3.1 of Method 21 of appendix A of this part, except that the probe inlet shall be placed within 5 to 10 centimeters of the ground. Monitoring shall be performed during typical meteorological conditions.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Any reading of 500 parts per million or more above background at any location shall be recorded as a monitored exceedance and the actions specified in paragraphs (c)(4) (i) through (v) of this section shall be taken. As long as the specified actions are taken, the exceedance is not a violation of the operational requirements of §60.753(d).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location of each monitored exceedance shall be marked and the location recorded.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Cover maintenance or adjustments to the vacuum of the adjacent wells to increase the gas collection in the vicinity of each exceedance shall be made and the location shall be re-monitored within 10 calendar days of detecting the exceedance.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Any location that initially showed an exceedance but has a methane concentration less than 500 ppm methane above background at the 10-day re-monitoring specified in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(ii) or (iii) of this section 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(iii) or (v) shall be taken.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owner or operator shall implement a program to monitor for cover integrity and implement cover repairs as necessary on a monthly basis.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Each owner or operator seeking to comply with the provisions in paragraph (c) of this section shall comply with the following instrumentation specifications and procedures for surface emission monitoring devices: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portable analyzer shall meet the instrument specifications provided in section 3 of Method 21 of appendix A of this part, except that “methane” shall replace all references to VOC.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calibration gas shall be methane, diluted to a nominal concentration of 500 parts per million in air.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To meet the performance evaluation requirements in section 3.1.3 of Method 21 of appendix A of this part, the instrument evaluation procedures of section 4.4 of Method 21 of appendix A of this part shall be used.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calibration procedures provided in section 4.2 of Method 21 of appendix A of this part shall be followed immediately before commencing a surface monitoring survey.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provisions of this subpart apply at all times, except during periods of start-up, shutdown, or malfunction, provided that the duration of start-up, shutdown, or malfunction shall not exceed 5 days for collection systems and shall not exceed 1 hour for treatment or control devices.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32752, June 16, 1998]</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60.756   </w:t>
      </w:r>
      <w:proofErr w:type="gramStart"/>
      <w:r w:rsidRPr="006D4EE5">
        <w:rPr>
          <w:strike/>
          <w:sz w:val="20"/>
          <w:szCs w:val="20"/>
          <w:highlight w:val="yellow"/>
        </w:rPr>
        <w:t>Monitoring</w:t>
      </w:r>
      <w:proofErr w:type="gramEnd"/>
      <w:r w:rsidRPr="006D4EE5">
        <w:rPr>
          <w:strike/>
          <w:sz w:val="20"/>
          <w:szCs w:val="20"/>
          <w:highlight w:val="yellow"/>
        </w:rPr>
        <w:t xml:space="preserve"> of operations.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Except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Each owner or operator seeking to comply with §60.752(b)(2)(ii)(A) for an active gas collection system shall install a sampling port and a thermometer, other temperature measuring device, or an access port for temperature measurements at each wellhead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Measure the gauge pressure in the gas collection header on a monthly basis as provided in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(2) Monitor nitrogen or oxygen concentration in the landfill gas on a monthly basis as provided in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Monitor temperature of the landfill gas on a monthly basis as provided in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Each owner or operator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using an enclosed combustor shall calibrate, maintain, and operate according to the manufacturer's specifications, the following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 device that records flow to or bypass of the control device. The owner or operator shall either: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Install, calibrate, and maintain a gas flow rate measuring device that shall record the flow to the control device at least every 15 minutes;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Each owner or operator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using an open flare shall install, calibrate, maintain, and operate according to the manufacturer's specifications the following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heat sensing device, such as an ultraviolet beam sensor or thermocouple, at the pilot light or the flame itself to indicate the continuous presence of a flame.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 device that records flow to or bypass of the flare. The owner or operator shall either: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Install, calibrate, and maintain a gas flow rate measuring device that shall record the flow to the control device at least every 15 minutes;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Each owner or operator seeking to demonstrate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using a device other than an open flare or an enclosed combustor shall provide information satisfactory to the Administrator as provided in §60.752(b)(2)(i)(B)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Each owner or operator seeking to install a collection system that does not meet the specifications in §60.759 or seeking to monitor alternative parameters to those required by §60.753 through §60.756 shall provide information satisfactory to the Administrator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 (B) and (C) describing the design and operation of the collection system, the operating parameters that would indicate proper performance, and appropriate monitoring procedures. The Administrator may specify additional appropriate monitoring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[61 FR 9919, Mar. 12, 1996, as amended at 63 FR 32752, June 16, 1998; 65 FR 18909, Apr. 10, 2000]</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60.757   Reporting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Except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Each owner or operator subject to the requirements of this subpart shall submit an initial design capacity report to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initial design capacity report shall fulfill the requirements of the notification of the date construction is commenced as required by §60.7(a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shall be submitted no later than: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June 10, 1996, for landfills that commenced construction, modification, or reconstruction on or after May 30, 1991 but before March 12, 1996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Ninety days after the date of commenced construction, modification, or reconstruction for landfills that commence construction, modification, or reconstruction on or after March 12, 1996.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initial design capacity report shall contain the following information: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map or plot of the landfill, providing the size and location of the landfill, and identifying all areas where solid waste may be landfilled according to the permit issued by the State, local, or tribal agency responsible for regulating the landfill.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NMOC emission rate report shall contain an annual or 5-year estimate of the NMOC emission rate calculated using the formula and procedures provided in §60.754(a) or (b), as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initial NMOC emission rate report may be combined with the initial design capacity report required in paragraph (a) of this section and shall be submitted no later than indicated in paragraphs (b)(1)(i)(A) and (B) of this section. Subsequent NMOC emission rate reports shall be submitted annually thereafter, except as provided for in paragraphs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 and (b)(3)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June 10, 1996, for landfills that commenced construction, modification, or reconstruction on or after May 30, 1991, but before March 12, 1996,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Ninety days after the date of commenced construction, modification, or reconstruction for landfills that commence construction, modification, or reconstruction on or after March 12, 1996.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NMOC emission rate report shall include all the data, calculations, sample reports and measurements used to estimate the annual or 5-year emissions.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Each owner or operator subject to the provisions of §60.752(b)(2)(i) shall submit a collection and control system design plan to the Administrator within 1 year of the first report required under paragraph (b) of this section in which the emission rate equals or exceeds 50 megagrams per year, except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If the owner or operator elects to recalculate the NMOC emission rate after Tier 2 NMOC sampling and analysis as provided in §60.754(a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the owner or operator elects to recalculate the NMOC emission rate after determining a site-specific methane generation rate constant (k), as provided in Tier 3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Each owner or operator of a controlled landfill shall submit an equipment removal report to the Administrator 30 days prior to removal or cessation of operation of the control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equipment removal report shall contain all of the following items: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copy of the closure report submitted in accordance with paragraph (d)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 copy of the initial performance test report demonstrating that the 15 year minimum control period has expired;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Dated copies of three successive NMOC emission rate reports demonstrating that the landfill is no longer producing 50 megagrams or greater of NMOC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Administrator may request such additional information as may be necessary to verify that all of the conditions for removal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have been met.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(f) Each owner or operator of a landfill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Value and length of time for exceedance of applicable parameters monitored under §60.756(a), (b), (c), and (d).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Description and duration of all periods when the gas stream is diverted from the control device through a bypass line or the indication of bypass flow as specified under §60.756.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Description and duration of all periods when the control device was not operating for a period exceeding 1 hour and length of time the control device was not operating.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All periods when the collection system was not operating in excess of 5 days.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location of each exceedance of the 500 parts per million methane concentration as provided in §60.753(d) and the concentration recorded at each location for which an exceedance was recorded in the previous month.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date of installation and the location of each well or collection system expansion added pursuant to paragraphs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(b), and (c)(4) of §60.755.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Each owner or operator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shall include the following information with the initial performance test report required under §60.8:</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data upon which the sufficient density of wells, horizontal collectors, surface collectors, or other gas extraction devices and the gas mover equipment sizing are based;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documentation of the presence of asbestos or nondegradable material for each area from which collection wells have been excluded based on the presence of asbestos or nondegradable material;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sum of the gas generation flow rates for all areas from which collection wells have been excluded based on nonproductivity and the calculations of gas generation flow rate for each excluded area;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provisions for increasing gas mover equipment capacity with increased gas generation flow rate, if the present gas mover equipment is inadequate to move the maximum flow rate expected over the life of the landfill;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provisions for the control of off-site migration.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32752, June 16, 1998; 65 FR 18909, Apr. 10, 2000]</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60.758   Recordkeeping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Except as provided in §60.752(b)(2)(i)(B),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(b) Except as provided in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Where an owner or operator subject to the provisions of this subpart seeks to demonstrate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maximum expected gas generation flow rate as calculated in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The owner or operator may use another method to determine the maximum gas generation flow rate, if the method has been approved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density of wells, horizontal collectors, surface collectors, or other gas extraction devices determined using the procedures specified in §60.759(a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Where an owner or operator subject to the provisions of this subpart seeks to demonstrate compliance with §60.752(b)(2)(iii) through use of an enclosed combustion device other than a boiler or process heater with a design heat input capacity equal to or greater than 44 megawatts: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average combustion temperature measured at least every 15 minutes and averaged over the same time period of the performance test.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percent reduction of NMOC determined as specified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2)(iii)(B) achieved by the control device.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Where an owner or operator subject to the provisions of this subpart seeks to demonstrate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2)(iii)(B)( </w:t>
      </w: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 through use of a boiler or process heater of any size: a description of the location at which the collected gas vent stream is introduced into the boiler or process heater over the same time period of the performance testing.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Where an owner or operator subject to the provisions of this subpart seeks to demonstrate compliance with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Except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following constitute exceedances that shall be recorded and reported under §60.757(f):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For enclosed combustors except for boilers and process heaters with design heat input capacity of 44 megawatts (150 million British thermal unit per hour) or greater, all 3-hour periods of operation during which the average combustion temperature was more than 28 </w:t>
      </w:r>
      <w:proofErr w:type="spellStart"/>
      <w:r w:rsidRPr="006D4EE5">
        <w:rPr>
          <w:rFonts w:ascii="Times New Roman" w:hAnsi="Times New Roman" w:cs="Times New Roman"/>
          <w:strike/>
          <w:sz w:val="20"/>
          <w:szCs w:val="20"/>
          <w:highlight w:val="yellow"/>
        </w:rPr>
        <w:t>oC</w:t>
      </w:r>
      <w:proofErr w:type="spellEnd"/>
      <w:r w:rsidRPr="006D4EE5">
        <w:rPr>
          <w:rFonts w:ascii="Times New Roman" w:hAnsi="Times New Roman" w:cs="Times New Roman"/>
          <w:strike/>
          <w:sz w:val="20"/>
          <w:szCs w:val="20"/>
          <w:highlight w:val="yellow"/>
        </w:rPr>
        <w:t xml:space="preserve"> below the average combustion temperature during the most recent performance test at which compliance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2)(iii) was determined.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For boilers or process heaters, whenever there is a change in the location at which the vent stream is introduced into the flame zone as required under paragraph (b)(3)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Each owner or operator subject to the provisions of this subpart who uses a boiler or process heater with a design heat input capacity of 44 megawatts or greater to comply with §60.752(b)(2)(iii) shall keep an up-to-date, readily accessible record of all </w:t>
      </w:r>
      <w:r w:rsidRPr="006D4EE5">
        <w:rPr>
          <w:rFonts w:ascii="Times New Roman" w:hAnsi="Times New Roman" w:cs="Times New Roman"/>
          <w:strike/>
          <w:sz w:val="20"/>
          <w:szCs w:val="20"/>
          <w:highlight w:val="yellow"/>
        </w:rPr>
        <w:lastRenderedPageBreak/>
        <w:t>periods of operation of the boiler or process heater. (Examples of such records could include records of steam use, fuel use, or monitoring data collected pursuant to other State, local, Tribal, or Federal regulatory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Except as provided in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Each owner or operator subject to the provisions of this subpart shall keep up-to-date, readily accessible records of the installation date and location of all newly installed collectors as specified under §60.755(b).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Each owner or operator subject to the provisions of this subpart shall keep readily accessible documentation of the nature, date of deposition, amount, and location of asbestos-containing or nondegradable waste excluded from collection as provided in §60.759(a)(3)(i) as well as any nonproductive areas excluded from collection as provided in §60.759(a)(3)(ii).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Except as provided in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FR 9919, Mar. 12, 1996, as amended at 63 FR 32752, June 16, 1998; 65 FR 18909, Apr. 10, 2000]</w:t>
      </w:r>
    </w:p>
    <w:p w:rsidR="00EB7550" w:rsidRPr="006D4EE5" w:rsidRDefault="00EB7550" w:rsidP="00EB7550">
      <w:pPr>
        <w:pStyle w:val="Heading5"/>
        <w:jc w:val="both"/>
        <w:rPr>
          <w:strike/>
          <w:sz w:val="20"/>
          <w:szCs w:val="20"/>
          <w:highlight w:val="yellow"/>
        </w:rPr>
      </w:pPr>
      <w:r w:rsidRPr="006D4EE5">
        <w:rPr>
          <w:strike/>
          <w:sz w:val="20"/>
          <w:szCs w:val="20"/>
          <w:highlight w:val="yellow"/>
        </w:rPr>
        <w:t>§ 60.759   Specifications for active collection systems.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Each owner or operator seeking to comply with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§60.752(b)(2)(i)(C) and (D):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sufficient density of gas collection devices determined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shall address landfill gas migration issues and augmentation of the collection system through the use of active or passive systems at the landfill perimeter or exterior.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placement of gas collection devices determined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shall control all gas producing areas, except as provided by paragraphs (a)(3)(i) and (a)(3)(ii)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 xml:space="preserve">= 2 k </w:t>
      </w:r>
      <w:proofErr w:type="spellStart"/>
      <w:proofErr w:type="gramStart"/>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i</w:t>
      </w:r>
      <w:proofErr w:type="spellEnd"/>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e-</w:t>
      </w:r>
      <w:proofErr w:type="spellStart"/>
      <w:r w:rsidRPr="006D4EE5">
        <w:rPr>
          <w:rFonts w:ascii="Times New Roman" w:hAnsi="Times New Roman" w:cs="Times New Roman"/>
          <w:strike/>
          <w:sz w:val="20"/>
          <w:szCs w:val="20"/>
          <w:highlight w:val="yellow"/>
          <w:vertAlign w:val="superscript"/>
        </w:rPr>
        <w:t>kt</w:t>
      </w:r>
      <w:r w:rsidRPr="006D4EE5">
        <w:rPr>
          <w:rFonts w:ascii="Times New Roman" w:hAnsi="Times New Roman" w:cs="Times New Roman"/>
          <w:strike/>
          <w:sz w:val="20"/>
          <w:szCs w:val="20"/>
          <w:highlight w:val="yellow"/>
        </w:rPr>
        <w:t>i</w:t>
      </w:r>
      <w:proofErr w:type="spellEnd"/>
      <w:r w:rsidRPr="006D4EE5">
        <w:rPr>
          <w:rFonts w:ascii="Times New Roman" w:hAnsi="Times New Roman" w:cs="Times New Roman"/>
          <w:strike/>
          <w:sz w:val="20"/>
          <w:szCs w:val="20"/>
          <w:highlight w:val="yellow"/>
        </w:rPr>
        <w:t>) (C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(3.6 × 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Q</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 NMOC emission rate from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megagrams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methane generation rate constant, year</w:t>
      </w:r>
      <w:r w:rsidRPr="006D4EE5">
        <w:rPr>
          <w:rFonts w:ascii="Times New Roman" w:hAnsi="Times New Roman" w:cs="Times New Roman"/>
          <w:strike/>
          <w:sz w:val="20"/>
          <w:szCs w:val="20"/>
          <w:highlight w:val="yellow"/>
          <w:vertAlign w:val="superscript"/>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 methane generation potential, cubic meters per megagram solid waste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 mass of the degradable solid waste in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megagram</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proofErr w:type="gramStart"/>
      <w:r w:rsidRPr="006D4EE5">
        <w:rPr>
          <w:rFonts w:ascii="Times New Roman" w:hAnsi="Times New Roman" w:cs="Times New Roman"/>
          <w:strike/>
          <w:sz w:val="20"/>
          <w:szCs w:val="20"/>
          <w:highlight w:val="yellow"/>
        </w:rPr>
        <w:t>t</w:t>
      </w:r>
      <w:r w:rsidRPr="006D4EE5">
        <w:rPr>
          <w:rFonts w:ascii="Times New Roman" w:hAnsi="Times New Roman" w:cs="Times New Roman"/>
          <w:strike/>
          <w:sz w:val="20"/>
          <w:szCs w:val="20"/>
          <w:highlight w:val="yellow"/>
          <w:vertAlign w:val="subscript"/>
        </w:rPr>
        <w:t>i</w:t>
      </w:r>
      <w:proofErr w:type="spellEnd"/>
      <w:proofErr w:type="gramEnd"/>
      <w:r w:rsidRPr="006D4EE5">
        <w:rPr>
          <w:rFonts w:ascii="Times New Roman" w:hAnsi="Times New Roman" w:cs="Times New Roman"/>
          <w:strike/>
          <w:sz w:val="20"/>
          <w:szCs w:val="20"/>
          <w:highlight w:val="yellow"/>
        </w:rPr>
        <w:t>= age of the solid waste in the i</w:t>
      </w:r>
      <w:r w:rsidRPr="006D4EE5">
        <w:rPr>
          <w:rFonts w:ascii="Times New Roman" w:hAnsi="Times New Roman" w:cs="Times New Roman"/>
          <w:strike/>
          <w:sz w:val="20"/>
          <w:szCs w:val="20"/>
          <w:highlight w:val="yellow"/>
          <w:vertAlign w:val="superscript"/>
        </w:rPr>
        <w:t>th</w:t>
      </w:r>
      <w:r w:rsidRPr="006D4EE5">
        <w:rPr>
          <w:rFonts w:ascii="Times New Roman" w:hAnsi="Times New Roman" w:cs="Times New Roman"/>
          <w:strike/>
          <w:sz w:val="20"/>
          <w:szCs w:val="20"/>
          <w:highlight w:val="yellow"/>
        </w:rPr>
        <w:t>section,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 concentration of nonmethane organic compounds, parts per million by volume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3.6×10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 conversion factor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The values for k and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determined</w:t>
      </w:r>
      <w:proofErr w:type="spellEnd"/>
      <w:r w:rsidRPr="006D4EE5">
        <w:rPr>
          <w:rFonts w:ascii="Times New Roman" w:hAnsi="Times New Roman" w:cs="Times New Roman"/>
          <w:strike/>
          <w:sz w:val="20"/>
          <w:szCs w:val="20"/>
          <w:highlight w:val="yellow"/>
        </w:rPr>
        <w:t xml:space="preserve">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w:t>
      </w:r>
      <w:proofErr w:type="spellStart"/>
      <w:r w:rsidRPr="006D4EE5">
        <w:rPr>
          <w:rFonts w:ascii="Times New Roman" w:hAnsi="Times New Roman" w:cs="Times New Roman"/>
          <w:strike/>
          <w:sz w:val="20"/>
          <w:szCs w:val="20"/>
          <w:highlight w:val="yellow"/>
        </w:rPr>
        <w:t>L</w:t>
      </w:r>
      <w:r w:rsidRPr="006D4EE5">
        <w:rPr>
          <w:rFonts w:ascii="Times New Roman" w:hAnsi="Times New Roman" w:cs="Times New Roman"/>
          <w:strike/>
          <w:sz w:val="20"/>
          <w:szCs w:val="20"/>
          <w:highlight w:val="yellow"/>
          <w:vertAlign w:val="subscript"/>
        </w:rPr>
        <w:t>O</w:t>
      </w:r>
      <w:r w:rsidRPr="006D4EE5">
        <w:rPr>
          <w:rFonts w:ascii="Times New Roman" w:hAnsi="Times New Roman" w:cs="Times New Roman"/>
          <w:strike/>
          <w:sz w:val="20"/>
          <w:szCs w:val="20"/>
          <w:highlight w:val="yellow"/>
        </w:rPr>
        <w:t>and</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NMOC</w:t>
      </w:r>
      <w:r w:rsidRPr="006D4EE5">
        <w:rPr>
          <w:rFonts w:ascii="Times New Roman" w:hAnsi="Times New Roman" w:cs="Times New Roman"/>
          <w:strike/>
          <w:sz w:val="20"/>
          <w:szCs w:val="20"/>
          <w:highlight w:val="yellow"/>
        </w:rPr>
        <w:t>provided</w:t>
      </w:r>
      <w:proofErr w:type="spellEnd"/>
      <w:r w:rsidRPr="006D4EE5">
        <w:rPr>
          <w:rFonts w:ascii="Times New Roman" w:hAnsi="Times New Roman" w:cs="Times New Roman"/>
          <w:strike/>
          <w:sz w:val="20"/>
          <w:szCs w:val="20"/>
          <w:highlight w:val="yellow"/>
        </w:rPr>
        <w:t xml:space="preserve"> in §60.754(a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or the alternative values from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Each owner or operator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2)(i)(A) shall construct the gas collection devices using the following equipment or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(c) Each owner or operator seeking to comply with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For existing collection systems, the flow data shall be used to project the maximum flow rate. If no flow data exists, the procedures in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 shall be used.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new collection systems, the maximum flow rate shall be in accordance with §60.755(a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rPr>
      </w:pPr>
      <w:r w:rsidRPr="006D4EE5">
        <w:rPr>
          <w:rFonts w:ascii="Times New Roman" w:hAnsi="Times New Roman" w:cs="Times New Roman"/>
          <w:strike/>
          <w:sz w:val="20"/>
          <w:szCs w:val="20"/>
          <w:highlight w:val="yellow"/>
        </w:rPr>
        <w:t>[61 FR 9919, Mar. 12, 1996, as amended at 63 FR 32753, June 16, 1998; 64 FR 9262, Feb. 24, 1999; 65 FR 18909, Apr. 10, 2000]</w:t>
      </w:r>
    </w:p>
    <w:p w:rsidR="00EB7550" w:rsidRPr="006D4EE5" w:rsidRDefault="00EB7550" w:rsidP="00EB7550">
      <w:pPr>
        <w:rPr>
          <w:strike/>
        </w:rPr>
        <w:sectPr w:rsidR="00EB7550" w:rsidRPr="006D4EE5" w:rsidSect="0031683A">
          <w:headerReference w:type="even" r:id="rId40"/>
          <w:headerReference w:type="default" r:id="rId41"/>
          <w:footerReference w:type="default" r:id="rId42"/>
          <w:headerReference w:type="first" r:id="rId43"/>
          <w:pgSz w:w="12240" w:h="15840" w:code="1"/>
          <w:pgMar w:top="1008" w:right="1008" w:bottom="1008" w:left="1008" w:header="720" w:footer="576" w:gutter="0"/>
          <w:paperSrc w:first="7" w:other="7"/>
          <w:pgNumType w:start="1"/>
          <w:cols w:space="720"/>
          <w:docGrid w:linePitch="299"/>
        </w:sectPr>
      </w:pP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b/>
          <w:bCs/>
          <w:sz w:val="20"/>
          <w:szCs w:val="20"/>
        </w:rPr>
        <w:lastRenderedPageBreak/>
        <w:t>Authority:</w:t>
      </w:r>
      <w:r w:rsidRPr="003A6D9C">
        <w:rPr>
          <w:rFonts w:ascii="Times New Roman" w:hAnsi="Times New Roman" w:cs="Times New Roman"/>
          <w:sz w:val="20"/>
          <w:szCs w:val="20"/>
        </w:rPr>
        <w:t xml:space="preserve">   42 U.S.C. 7401, 7412, 7414, 7416, 7601.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b/>
          <w:bCs/>
          <w:sz w:val="20"/>
          <w:szCs w:val="20"/>
        </w:rPr>
        <w:t>Source:</w:t>
      </w:r>
      <w:r w:rsidRPr="003A6D9C">
        <w:rPr>
          <w:rFonts w:ascii="Times New Roman" w:hAnsi="Times New Roman" w:cs="Times New Roman"/>
          <w:sz w:val="20"/>
          <w:szCs w:val="20"/>
        </w:rPr>
        <w:t xml:space="preserve">   49 FR 13661, Apr. 5, 1984, unless otherwise noted. </w:t>
      </w:r>
    </w:p>
    <w:p w:rsidR="00EB7550" w:rsidRPr="003A6D9C" w:rsidRDefault="00EB7550" w:rsidP="00EB7550">
      <w:pPr>
        <w:pStyle w:val="Heading5"/>
        <w:rPr>
          <w:sz w:val="20"/>
          <w:szCs w:val="20"/>
        </w:rPr>
      </w:pPr>
      <w:r w:rsidRPr="003A6D9C">
        <w:rPr>
          <w:sz w:val="20"/>
          <w:szCs w:val="20"/>
        </w:rPr>
        <w:t>§ 61.140   Applicability.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The provisions of this subpart are applicable to those sources specified in §§61.142 through 61.151, 61.154, and 61.155.</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48414, Nov. 20, 1990]</w:t>
      </w:r>
    </w:p>
    <w:p w:rsidR="00EB7550" w:rsidRPr="003A6D9C" w:rsidRDefault="00EB7550" w:rsidP="00EB7550">
      <w:pPr>
        <w:pStyle w:val="Heading5"/>
        <w:rPr>
          <w:sz w:val="20"/>
          <w:szCs w:val="20"/>
        </w:rPr>
      </w:pPr>
      <w:r w:rsidRPr="003A6D9C">
        <w:rPr>
          <w:sz w:val="20"/>
          <w:szCs w:val="20"/>
        </w:rPr>
        <w:t>§ 61.141   Definitions.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All terms that are used in this subpart and are not defined below are given the same meaning as in the Act and in subpart A of this part.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Active waste disposal site </w:t>
      </w:r>
      <w:r w:rsidRPr="003A6D9C">
        <w:rPr>
          <w:rFonts w:ascii="Times New Roman" w:hAnsi="Times New Roman" w:cs="Times New Roman"/>
          <w:sz w:val="20"/>
          <w:szCs w:val="20"/>
        </w:rPr>
        <w:t>means any disposal site other than an inactive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Adequately wet </w:t>
      </w:r>
      <w:r w:rsidRPr="003A6D9C">
        <w:rPr>
          <w:rFonts w:ascii="Times New Roman" w:hAnsi="Times New Roman" w:cs="Times New Roman"/>
          <w:sz w:val="20"/>
          <w:szCs w:val="20"/>
        </w:rPr>
        <w:t>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w:t>
      </w:r>
      <w:r w:rsidRPr="003A6D9C">
        <w:rPr>
          <w:rFonts w:ascii="Times New Roman" w:hAnsi="Times New Roman" w:cs="Times New Roman"/>
          <w:sz w:val="20"/>
          <w:szCs w:val="20"/>
        </w:rPr>
        <w:t>means the asbestiform varieties of serpentinite (chrysotile), riebeckite (crocidolite), cummingtonite-grunerite, anthophyllite, and actinolite-tremolite.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Asbestos-containing waste materials </w:t>
      </w:r>
      <w:r w:rsidRPr="003A6D9C">
        <w:rPr>
          <w:rFonts w:ascii="Times New Roman" w:hAnsi="Times New Roman" w:cs="Times New Roman"/>
          <w:sz w:val="20"/>
          <w:szCs w:val="20"/>
        </w:rPr>
        <w:t>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mill </w:t>
      </w:r>
      <w:r w:rsidRPr="003A6D9C">
        <w:rPr>
          <w:rFonts w:ascii="Times New Roman" w:hAnsi="Times New Roman" w:cs="Times New Roman"/>
          <w:sz w:val="20"/>
          <w:szCs w:val="20"/>
        </w:rPr>
        <w:t>means any facility engaged in converting, or in any intermediate step in converting, asbestos ore into commercial asbestos. Outside storage of asbestos material is not considered a part of the asbestos mill.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tailings </w:t>
      </w:r>
      <w:r w:rsidRPr="003A6D9C">
        <w:rPr>
          <w:rFonts w:ascii="Times New Roman" w:hAnsi="Times New Roman" w:cs="Times New Roman"/>
          <w:sz w:val="20"/>
          <w:szCs w:val="20"/>
        </w:rPr>
        <w:t>means any solid waste that contains asbestos and is a product of asbestos mining or milling operations.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waste from control devices </w:t>
      </w:r>
      <w:r w:rsidRPr="003A6D9C">
        <w:rPr>
          <w:rFonts w:ascii="Times New Roman" w:hAnsi="Times New Roman" w:cs="Times New Roman"/>
          <w:sz w:val="20"/>
          <w:szCs w:val="20"/>
        </w:rPr>
        <w:t>means any waste material that contains asbestos and is collected by a pollution control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Category I nonfriable asbestos-containing material (ACM) </w:t>
      </w:r>
      <w:r w:rsidRPr="003A6D9C">
        <w:rPr>
          <w:rFonts w:ascii="Times New Roman" w:hAnsi="Times New Roman" w:cs="Times New Roman"/>
          <w:sz w:val="20"/>
          <w:szCs w:val="20"/>
        </w:rPr>
        <w:t>means asbestos-containing packings, gaskets, resilient floor covering, and asphalt roofing products containing more than 1 percent asbestos as determined using the method specified in appendix E, subpart E, 40 CFR part 763, section 1, Polarized Light Microscopy.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Category II nonfriable ACM </w:t>
      </w:r>
      <w:r w:rsidRPr="003A6D9C">
        <w:rPr>
          <w:rFonts w:ascii="Times New Roman" w:hAnsi="Times New Roman" w:cs="Times New Roman"/>
          <w:sz w:val="20"/>
          <w:szCs w:val="20"/>
        </w:rPr>
        <w:t xml:space="preserve">means any material, excluding Category I nonfriable ACM, containing more than 1 percent asbestos as determined using the methods specified in appendix E, subpart E, 40 CFR part 763, </w:t>
      </w:r>
      <w:proofErr w:type="gramStart"/>
      <w:r w:rsidRPr="003A6D9C">
        <w:rPr>
          <w:rFonts w:ascii="Times New Roman" w:hAnsi="Times New Roman" w:cs="Times New Roman"/>
          <w:sz w:val="20"/>
          <w:szCs w:val="20"/>
        </w:rPr>
        <w:t>section</w:t>
      </w:r>
      <w:proofErr w:type="gramEnd"/>
      <w:r w:rsidRPr="003A6D9C">
        <w:rPr>
          <w:rFonts w:ascii="Times New Roman" w:hAnsi="Times New Roman" w:cs="Times New Roman"/>
          <w:sz w:val="20"/>
          <w:szCs w:val="20"/>
        </w:rPr>
        <w:t xml:space="preserve"> 1, Polarized Light Microscopy that, when dry, cannot be crumbled, pulverized, or reduced to powder by hand pressure.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Commercial asbestos </w:t>
      </w:r>
      <w:r w:rsidRPr="003A6D9C">
        <w:rPr>
          <w:rFonts w:ascii="Times New Roman" w:hAnsi="Times New Roman" w:cs="Times New Roman"/>
          <w:sz w:val="20"/>
          <w:szCs w:val="20"/>
        </w:rPr>
        <w:t>means any material containing asbestos that is extracted from ore and has value because of its asbestos content.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Cutting </w:t>
      </w:r>
      <w:r w:rsidRPr="003A6D9C">
        <w:rPr>
          <w:rFonts w:ascii="Times New Roman" w:hAnsi="Times New Roman" w:cs="Times New Roman"/>
          <w:sz w:val="20"/>
          <w:szCs w:val="20"/>
        </w:rPr>
        <w:t>means to penetrate with a sharp-edged instrument and includes sawing, but does not include shearing, slicing, or punching.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Demolition </w:t>
      </w:r>
      <w:r w:rsidRPr="003A6D9C">
        <w:rPr>
          <w:rFonts w:ascii="Times New Roman" w:hAnsi="Times New Roman" w:cs="Times New Roman"/>
          <w:sz w:val="20"/>
          <w:szCs w:val="20"/>
        </w:rPr>
        <w:t>means the wrecking or taking out of any load-supporting structural member of a facility together with any related handling operations or the intentional burning of any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Emergency renovation operation </w:t>
      </w:r>
      <w:r w:rsidRPr="003A6D9C">
        <w:rPr>
          <w:rFonts w:ascii="Times New Roman" w:hAnsi="Times New Roman" w:cs="Times New Roman"/>
          <w:sz w:val="20"/>
          <w:szCs w:val="20"/>
        </w:rPr>
        <w:t>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nonroutine failures of equipment.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Fabricating </w:t>
      </w:r>
      <w:r w:rsidRPr="003A6D9C">
        <w:rPr>
          <w:rFonts w:ascii="Times New Roman" w:hAnsi="Times New Roman" w:cs="Times New Roman"/>
          <w:sz w:val="20"/>
          <w:szCs w:val="20"/>
        </w:rPr>
        <w:t>means any processing (</w:t>
      </w:r>
      <w:r w:rsidRPr="003A6D9C">
        <w:rPr>
          <w:rFonts w:ascii="Times New Roman" w:hAnsi="Times New Roman" w:cs="Times New Roman"/>
          <w:i/>
          <w:iCs/>
          <w:sz w:val="20"/>
          <w:szCs w:val="20"/>
        </w:rPr>
        <w:t xml:space="preserve">e.g., </w:t>
      </w:r>
      <w:r w:rsidRPr="003A6D9C">
        <w:rPr>
          <w:rFonts w:ascii="Times New Roman" w:hAnsi="Times New Roman" w:cs="Times New Roman"/>
          <w:sz w:val="20"/>
          <w:szCs w:val="20"/>
        </w:rPr>
        <w:t>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Facility </w:t>
      </w:r>
      <w:r w:rsidRPr="003A6D9C">
        <w:rPr>
          <w:rFonts w:ascii="Times New Roman" w:hAnsi="Times New Roman" w:cs="Times New Roman"/>
          <w:sz w:val="20"/>
          <w:szCs w:val="20"/>
        </w:rPr>
        <w:t>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Facility component </w:t>
      </w:r>
      <w:r w:rsidRPr="003A6D9C">
        <w:rPr>
          <w:rFonts w:ascii="Times New Roman" w:hAnsi="Times New Roman" w:cs="Times New Roman"/>
          <w:sz w:val="20"/>
          <w:szCs w:val="20"/>
        </w:rPr>
        <w:t>means any part of a facility including equipment.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Friable asbestos material </w:t>
      </w:r>
      <w:r w:rsidRPr="003A6D9C">
        <w:rPr>
          <w:rFonts w:ascii="Times New Roman" w:hAnsi="Times New Roman" w:cs="Times New Roman"/>
          <w:sz w:val="20"/>
          <w:szCs w:val="20"/>
        </w:rPr>
        <w:t xml:space="preserve">means any material containing more than 1 percent asbestos as determined using the method specified in appendix E, subpart E, 40 CFR part 763, section 1, Polarized Light </w:t>
      </w:r>
      <w:proofErr w:type="gramStart"/>
      <w:r w:rsidRPr="003A6D9C">
        <w:rPr>
          <w:rFonts w:ascii="Times New Roman" w:hAnsi="Times New Roman" w:cs="Times New Roman"/>
          <w:sz w:val="20"/>
          <w:szCs w:val="20"/>
        </w:rPr>
        <w:t>Microscopy, that,</w:t>
      </w:r>
      <w:proofErr w:type="gramEnd"/>
      <w:r w:rsidRPr="003A6D9C">
        <w:rPr>
          <w:rFonts w:ascii="Times New Roman" w:hAnsi="Times New Roman" w:cs="Times New Roman"/>
          <w:sz w:val="20"/>
          <w:szCs w:val="20"/>
        </w:rPr>
        <w:t xml:space="preserve"> when dry, can be crumbled, pulverized, or reduced to powder by hand pressure. If the asbestos content is less than 10 percent as determined by a method other than point counting by polarized light microscopy (PLM), verify the asbestos content by point counting using PLM.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Fugitive source </w:t>
      </w:r>
      <w:r w:rsidRPr="003A6D9C">
        <w:rPr>
          <w:rFonts w:ascii="Times New Roman" w:hAnsi="Times New Roman" w:cs="Times New Roman"/>
          <w:sz w:val="20"/>
          <w:szCs w:val="20"/>
        </w:rPr>
        <w:t>means any source of emissions not controlled by an air pollution control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Glove bag </w:t>
      </w:r>
      <w:r w:rsidRPr="003A6D9C">
        <w:rPr>
          <w:rFonts w:ascii="Times New Roman" w:hAnsi="Times New Roman" w:cs="Times New Roman"/>
          <w:sz w:val="20"/>
          <w:szCs w:val="20"/>
        </w:rPr>
        <w:t>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Grinding </w:t>
      </w:r>
      <w:r w:rsidRPr="003A6D9C">
        <w:rPr>
          <w:rFonts w:ascii="Times New Roman" w:hAnsi="Times New Roman" w:cs="Times New Roman"/>
          <w:sz w:val="20"/>
          <w:szCs w:val="20"/>
        </w:rPr>
        <w:t>means to reduce to powder or small fragments and includes mechanical chipping or drilling.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 poor condition </w:t>
      </w:r>
      <w:r w:rsidRPr="003A6D9C">
        <w:rPr>
          <w:rFonts w:ascii="Times New Roman" w:hAnsi="Times New Roman" w:cs="Times New Roman"/>
          <w:sz w:val="20"/>
          <w:szCs w:val="20"/>
        </w:rPr>
        <w:t>means the binding of the material is losing its integrity as indicated by peeling, cracking, or crumbling of the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Inactive waste disposal site </w:t>
      </w:r>
      <w:r w:rsidRPr="003A6D9C">
        <w:rPr>
          <w:rFonts w:ascii="Times New Roman" w:hAnsi="Times New Roman" w:cs="Times New Roman"/>
          <w:sz w:val="20"/>
          <w:szCs w:val="20"/>
        </w:rPr>
        <w:t>means any disposal site or portion of it where additional asbestos-containing waste material has not been deposited within the past year.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Installation </w:t>
      </w:r>
      <w:r w:rsidRPr="003A6D9C">
        <w:rPr>
          <w:rFonts w:ascii="Times New Roman" w:hAnsi="Times New Roman" w:cs="Times New Roman"/>
          <w:sz w:val="20"/>
          <w:szCs w:val="20"/>
        </w:rPr>
        <w:t>means any building or structure or any group of buildings or structures at a single demolition or renovation site that are under the control of the same owner or operator (or owner or operator under common control).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Leak-tight </w:t>
      </w:r>
      <w:r w:rsidRPr="003A6D9C">
        <w:rPr>
          <w:rFonts w:ascii="Times New Roman" w:hAnsi="Times New Roman" w:cs="Times New Roman"/>
          <w:sz w:val="20"/>
          <w:szCs w:val="20"/>
        </w:rPr>
        <w:t>means that solids or liquids cannot escape or spill out. It also means dust-tight.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Malfunction </w:t>
      </w:r>
      <w:r w:rsidRPr="003A6D9C">
        <w:rPr>
          <w:rFonts w:ascii="Times New Roman" w:hAnsi="Times New Roman" w:cs="Times New Roman"/>
          <w:sz w:val="20"/>
          <w:szCs w:val="20"/>
        </w:rPr>
        <w:t>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Manufacturing </w:t>
      </w:r>
      <w:r w:rsidRPr="003A6D9C">
        <w:rPr>
          <w:rFonts w:ascii="Times New Roman" w:hAnsi="Times New Roman" w:cs="Times New Roman"/>
          <w:sz w:val="20"/>
          <w:szCs w:val="20"/>
        </w:rPr>
        <w:t>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Natural barrier </w:t>
      </w:r>
      <w:r w:rsidRPr="003A6D9C">
        <w:rPr>
          <w:rFonts w:ascii="Times New Roman" w:hAnsi="Times New Roman" w:cs="Times New Roman"/>
          <w:sz w:val="20"/>
          <w:szCs w:val="20"/>
        </w:rPr>
        <w:t>means a natural object that effectively precludes or deters access. Natural barriers include physical obstacles such as cliffs, lakes or other large bodies of water, deep and wide ravines, and mountains. Remoteness by itself is not a natural barrier.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Nonfriable asbestos-containing material </w:t>
      </w:r>
      <w:r w:rsidRPr="003A6D9C">
        <w:rPr>
          <w:rFonts w:ascii="Times New Roman" w:hAnsi="Times New Roman" w:cs="Times New Roman"/>
          <w:sz w:val="20"/>
          <w:szCs w:val="20"/>
        </w:rPr>
        <w:t xml:space="preserve">means any material containing more than 1 percent asbestos as determined using the method specified in appendix E, subpart E, 40 CFR part 763, section 1, Polarized Light </w:t>
      </w:r>
      <w:proofErr w:type="gramStart"/>
      <w:r w:rsidRPr="003A6D9C">
        <w:rPr>
          <w:rFonts w:ascii="Times New Roman" w:hAnsi="Times New Roman" w:cs="Times New Roman"/>
          <w:sz w:val="20"/>
          <w:szCs w:val="20"/>
        </w:rPr>
        <w:t>Microscopy, that,</w:t>
      </w:r>
      <w:proofErr w:type="gramEnd"/>
      <w:r w:rsidRPr="003A6D9C">
        <w:rPr>
          <w:rFonts w:ascii="Times New Roman" w:hAnsi="Times New Roman" w:cs="Times New Roman"/>
          <w:sz w:val="20"/>
          <w:szCs w:val="20"/>
        </w:rPr>
        <w:t xml:space="preserve"> when dry, cannot be crumbled, pulverized, or reduced to powder by hand pressure.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Nonscheduled renovation operation </w:t>
      </w:r>
      <w:r w:rsidRPr="003A6D9C">
        <w:rPr>
          <w:rFonts w:ascii="Times New Roman" w:hAnsi="Times New Roman" w:cs="Times New Roman"/>
          <w:sz w:val="20"/>
          <w:szCs w:val="20"/>
        </w:rPr>
        <w:t>means a renovation operation necessitated by the routine failure of equipment, which is expected to occur within a given period based on past operating experience, but for which an exact date cannot be predicted.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Outside air </w:t>
      </w:r>
      <w:r w:rsidRPr="003A6D9C">
        <w:rPr>
          <w:rFonts w:ascii="Times New Roman" w:hAnsi="Times New Roman" w:cs="Times New Roman"/>
          <w:sz w:val="20"/>
          <w:szCs w:val="20"/>
        </w:rPr>
        <w:t>means the air outside buildings and structures, including, but not limited to, the air under a bridge or in an open air ferry dock.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Owner or operator of a demolition or renovation activity </w:t>
      </w:r>
      <w:r w:rsidRPr="003A6D9C">
        <w:rPr>
          <w:rFonts w:ascii="Times New Roman" w:hAnsi="Times New Roman" w:cs="Times New Roman"/>
          <w:sz w:val="20"/>
          <w:szCs w:val="20"/>
        </w:rPr>
        <w:t>means any person who owns, leases, operates, controls, or supervises the facility being demolished or renovated or any person who owns, leases, operates, controls, or supervises the demolition or renovation operation, or both.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Particulate asbestos material </w:t>
      </w:r>
      <w:r w:rsidRPr="003A6D9C">
        <w:rPr>
          <w:rFonts w:ascii="Times New Roman" w:hAnsi="Times New Roman" w:cs="Times New Roman"/>
          <w:sz w:val="20"/>
          <w:szCs w:val="20"/>
        </w:rPr>
        <w:t>means finely divided particles of asbestos or material containing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Planned renovation operations </w:t>
      </w:r>
      <w:r w:rsidRPr="003A6D9C">
        <w:rPr>
          <w:rFonts w:ascii="Times New Roman" w:hAnsi="Times New Roman" w:cs="Times New Roman"/>
          <w:sz w:val="20"/>
          <w:szCs w:val="20"/>
        </w:rPr>
        <w:t>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Regulated asbestos-containing material </w:t>
      </w:r>
      <w:r w:rsidRPr="003A6D9C">
        <w:rPr>
          <w:rFonts w:ascii="Times New Roman" w:hAnsi="Times New Roman" w:cs="Times New Roman"/>
          <w:sz w:val="20"/>
          <w:szCs w:val="20"/>
        </w:rPr>
        <w:t>(RACM)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Remove </w:t>
      </w:r>
      <w:r w:rsidRPr="003A6D9C">
        <w:rPr>
          <w:rFonts w:ascii="Times New Roman" w:hAnsi="Times New Roman" w:cs="Times New Roman"/>
          <w:sz w:val="20"/>
          <w:szCs w:val="20"/>
        </w:rPr>
        <w:t>means to take out RACM or facility components that contain or are covered with RACM from any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Renovation </w:t>
      </w:r>
      <w:r w:rsidRPr="003A6D9C">
        <w:rPr>
          <w:rFonts w:ascii="Times New Roman" w:hAnsi="Times New Roman" w:cs="Times New Roman"/>
          <w:sz w:val="20"/>
          <w:szCs w:val="20"/>
        </w:rPr>
        <w:t>means altering a facility or one or more facility components in any way, including the stripping or removal of RACM from a facility component. Operations in which load-supporting structural members are wrecked or taken out are demolitions.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Resilient floor covering </w:t>
      </w:r>
      <w:r w:rsidRPr="003A6D9C">
        <w:rPr>
          <w:rFonts w:ascii="Times New Roman" w:hAnsi="Times New Roman" w:cs="Times New Roman"/>
          <w:sz w:val="20"/>
          <w:szCs w:val="20"/>
        </w:rPr>
        <w:t>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Roadways </w:t>
      </w:r>
      <w:r w:rsidRPr="003A6D9C">
        <w:rPr>
          <w:rFonts w:ascii="Times New Roman" w:hAnsi="Times New Roman" w:cs="Times New Roman"/>
          <w:sz w:val="20"/>
          <w:szCs w:val="20"/>
        </w:rPr>
        <w:t>means surfaces on which vehicles travel. This term includes public and private highways, roads, streets, parking areas, and driveways.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Strip </w:t>
      </w:r>
      <w:r w:rsidRPr="003A6D9C">
        <w:rPr>
          <w:rFonts w:ascii="Times New Roman" w:hAnsi="Times New Roman" w:cs="Times New Roman"/>
          <w:sz w:val="20"/>
          <w:szCs w:val="20"/>
        </w:rPr>
        <w:t>means to take off RACM from any part of a facility or facility components.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Structural member </w:t>
      </w:r>
      <w:r w:rsidRPr="003A6D9C">
        <w:rPr>
          <w:rFonts w:ascii="Times New Roman" w:hAnsi="Times New Roman" w:cs="Times New Roman"/>
          <w:sz w:val="20"/>
          <w:szCs w:val="20"/>
        </w:rPr>
        <w:t>means any load-supporting member of a facility, such as beams and load supporting walls; or any nonload-supporting member, such as ceilings and nonload-supporting walls.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Visible emissions </w:t>
      </w:r>
      <w:r w:rsidRPr="003A6D9C">
        <w:rPr>
          <w:rFonts w:ascii="Times New Roman" w:hAnsi="Times New Roman" w:cs="Times New Roman"/>
          <w:sz w:val="20"/>
          <w:szCs w:val="20"/>
        </w:rPr>
        <w:t>means any emissions, which are visually detectable without the aid of instruments, coming from RACM or asbestos-containing waste material, or from any asbestos milling, manufacturing, or fabricating operation. This does not include condensed, uncombined water vapor.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Waste generator </w:t>
      </w:r>
      <w:r w:rsidRPr="003A6D9C">
        <w:rPr>
          <w:rFonts w:ascii="Times New Roman" w:hAnsi="Times New Roman" w:cs="Times New Roman"/>
          <w:sz w:val="20"/>
          <w:szCs w:val="20"/>
        </w:rPr>
        <w:t>means any owner or operator of a source covered by this subpart whose act or process produces asbestos-containing waste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Waste shipment record </w:t>
      </w:r>
      <w:r w:rsidRPr="003A6D9C">
        <w:rPr>
          <w:rFonts w:ascii="Times New Roman" w:hAnsi="Times New Roman" w:cs="Times New Roman"/>
          <w:sz w:val="20"/>
          <w:szCs w:val="20"/>
        </w:rPr>
        <w:t>means the shipping document, required to be originated and signed by the waste generator, used to track and substantiate the disposition of asbestos-containing waste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Working day </w:t>
      </w:r>
      <w:r w:rsidRPr="003A6D9C">
        <w:rPr>
          <w:rFonts w:ascii="Times New Roman" w:hAnsi="Times New Roman" w:cs="Times New Roman"/>
          <w:sz w:val="20"/>
          <w:szCs w:val="20"/>
        </w:rPr>
        <w:t>means Monday through Friday and includes holidays that fall on any of the days Monday through Friday.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49 FR 25453, June 21, 1984, as amended by 55 FR 48414, Nov. 20, 1990; 56 FR 1669, Jan. 16, 1991; 60 FR 31920, June 19, 1995]</w:t>
      </w:r>
    </w:p>
    <w:p w:rsidR="00EB7550" w:rsidRPr="003A6D9C" w:rsidRDefault="00EB7550" w:rsidP="00EB7550">
      <w:pPr>
        <w:pStyle w:val="Heading5"/>
        <w:rPr>
          <w:sz w:val="20"/>
          <w:szCs w:val="20"/>
        </w:rPr>
      </w:pPr>
      <w:r w:rsidRPr="003A6D9C">
        <w:rPr>
          <w:sz w:val="20"/>
          <w:szCs w:val="20"/>
        </w:rPr>
        <w:t>§ 61.142   Standard for asbestos</w:t>
      </w:r>
      <w:r w:rsidR="006D4EE5">
        <w:rPr>
          <w:sz w:val="20"/>
          <w:szCs w:val="20"/>
        </w:rPr>
        <w:t xml:space="preserve"> m</w:t>
      </w:r>
      <w:r w:rsidRPr="003A6D9C">
        <w:rPr>
          <w:sz w:val="20"/>
          <w:szCs w:val="20"/>
        </w:rPr>
        <w:t>ills.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Each owner or operator of an asbestos mill shall meet the following requirements: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Monitor each potential source of asbestos emissions from any part of the mill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Maintain records of the results of visible emissions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(4)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Submit semiannually a copy of visible emission monitoring records to the Administrator if visible emissions occurred during the report period. Semiannual reports shall be postmarked by the 30th day following the end of the six-month period.</w:t>
      </w:r>
    </w:p>
    <w:p w:rsidR="00EB7550" w:rsidRPr="003A6D9C" w:rsidRDefault="00C718A9" w:rsidP="00EB7550">
      <w:pPr>
        <w:rPr>
          <w:rStyle w:val="updatebodytest1"/>
          <w:rFonts w:ascii="Times New Roman" w:hAnsi="Times New Roman" w:cs="Times New Roman"/>
          <w:sz w:val="20"/>
          <w:szCs w:val="20"/>
        </w:rPr>
      </w:pPr>
      <w:r w:rsidRPr="00D90B77">
        <w:rPr>
          <w:noProof/>
          <w:sz w:val="20"/>
        </w:rPr>
        <w:drawing>
          <wp:inline distT="0" distB="0" distL="0" distR="0">
            <wp:extent cx="3096895" cy="3685540"/>
            <wp:effectExtent l="0" t="0" r="0" b="0"/>
            <wp:docPr id="6" name="Picture 6"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01my9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96895" cy="3685540"/>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45"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C718A9"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lastRenderedPageBreak/>
        <w:drawing>
          <wp:inline distT="0" distB="0" distL="0" distR="0">
            <wp:extent cx="3315335" cy="4190365"/>
            <wp:effectExtent l="0" t="0" r="0" b="0"/>
            <wp:docPr id="7" name="Picture 7"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01my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15335" cy="4190365"/>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47"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48416, Nov. 20, 1990, as amended at 64 FR 7467, Feb. 12, 1999]</w:t>
      </w:r>
    </w:p>
    <w:p w:rsidR="00EB7550" w:rsidRPr="003A6D9C" w:rsidRDefault="00EB7550" w:rsidP="00EB7550">
      <w:pPr>
        <w:pStyle w:val="Heading5"/>
        <w:rPr>
          <w:sz w:val="20"/>
          <w:szCs w:val="20"/>
        </w:rPr>
      </w:pPr>
      <w:r w:rsidRPr="003A6D9C">
        <w:rPr>
          <w:sz w:val="20"/>
          <w:szCs w:val="20"/>
        </w:rPr>
        <w:t>§ 61.143   Standard for roadways.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 person may construct or maintain a roadway with asbestos tailings or asbestos-containing waste material on that roadway, unless, for asbestos tailings.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It is a temporary roadway on an area of asbestos ore deposits (asbestos mine):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It is a temporary roadway at an active asbestos mill site and is encapsulated with a resinous or bituminous binder. The encapsulated road surface must be maintained at a minimum frequency of once per year to prevent dust emissions;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It is encapsulated in asphalt concrete meeting the specifications contained in section 401 of Standard Specifications for Construction of Roads and Bridges on Federal Highway Projects, FP–85, 1985, or their equivalent.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48419, Nov. 20, 1990; 56 FR 1669, Jan. 16, 1991]</w:t>
      </w:r>
    </w:p>
    <w:p w:rsidR="00EB7550" w:rsidRPr="003A6D9C" w:rsidRDefault="00EB7550" w:rsidP="00EB7550">
      <w:pPr>
        <w:pStyle w:val="Heading5"/>
        <w:rPr>
          <w:sz w:val="20"/>
          <w:szCs w:val="20"/>
        </w:rPr>
      </w:pPr>
      <w:r w:rsidRPr="003A6D9C">
        <w:rPr>
          <w:sz w:val="20"/>
          <w:szCs w:val="20"/>
        </w:rPr>
        <w:t>§ 61.144   Standard for manufacturing.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This section applies to the following manufacturing operations using commercial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The manufacture of cloth, cord, wicks, tubing, tape, twine, rope, thread, yarn, roving, lap, or other textile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(2) The manufacture of cement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The manufacture of fireproofing and insulating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The manufacture of friction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The manufacture of paper, millboard, and felt.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The manufacture of floor tile.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The manufacture of paints, coatings, caulks, adhesives, and sealants.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The manufacture of plastics and rubber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(9) The manufacture of chlorine utilizing asbestos diaphragm technology.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(10) The manufacture of shotgun shell wads.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(11) The manufacture of asphalt concrete.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Standard. </w:t>
      </w:r>
      <w:r w:rsidRPr="003A6D9C">
        <w:rPr>
          <w:rFonts w:ascii="Times New Roman" w:hAnsi="Times New Roman" w:cs="Times New Roman"/>
          <w:sz w:val="20"/>
          <w:szCs w:val="20"/>
        </w:rPr>
        <w:t>Each owner or operator of any of the manufacturing operations to which this section applies shall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Discharge no visible emissions to the outside air from these operations or from any building or structure in which they are conducted or from any other fugitive sources;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the methods specified by §61.152 to clean emissions from these operations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Maintain records of the results of visible emission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Submit semiannually a copy of the visible emission monitoring records to the Administrator if visible emission occurred during the report period. Semiannual reports shall be postmarked by the 30th day following the end of the six-month period.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as amended at 55 FR 48419, Nov. 20, 1990; 56 FR 1669, Jan. 16, 1991; 64 FR 7467, Feb. 12, 1999]</w:t>
      </w:r>
    </w:p>
    <w:p w:rsidR="00EB7550" w:rsidRPr="003A6D9C" w:rsidRDefault="00EB7550" w:rsidP="00EB7550">
      <w:pPr>
        <w:pStyle w:val="Heading5"/>
        <w:rPr>
          <w:sz w:val="20"/>
          <w:szCs w:val="20"/>
        </w:rPr>
      </w:pPr>
      <w:r w:rsidRPr="003A6D9C">
        <w:rPr>
          <w:sz w:val="20"/>
          <w:szCs w:val="20"/>
        </w:rPr>
        <w:t>§ 61.145   Standard for demolition and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nonfriable ACM. The requirements of paragraphs (b) and (c) of this section apply to each owner or operator of a demolition or renovation activity, including the removal of RACM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In a facility being demolished, all the requirements of paragraphs (b) and (c) of this section apply, except as provided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of this section, if the combined amount of RACM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80 linear meters (260 linear feet) on pipes or at least 15 square meters (160 square feet) on other facility components,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At least 1 cubic meter (35 cubic feet) off facility components where the length or area could not be measured previously.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In a facility being demolished, only the notification requirements of paragraphs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(2), (3)(i) and (iv), and (4)(i) through (vii) and (4)(ix) and (xvi) of this section apply, if the combined amount of RACM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Less than 80 linear meters (260 linear feet) on pipes and less than 15 square meters (160 square feet) on other facility components,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Less than one cubic meter (35 cubic feet) off facility components where the length or area could not be measured previously or there is no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 a facility being renovated, including any individual nonscheduled renovation operation, all the requirements of paragraphs (b) and (c) of this section apply if the combined amount of RACM to be stripped, removed, dislodged, cut, drilled, or similarly disturbed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80 linear meters (260 linear feet) on pipes or at least 15 square meters (160 square feet) on other facility components,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At least 1 cubic meter (35 cubic feet) off facility components where the length or area could not be measured previously.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To determine whether paragraph (a)(4) of this section applies to planned renovation operations involving individual nonscheduled operations, predict the combined additive amount of RACM to be removed or stripped during a calendar year of January 1 through December 31.</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To determine whether paragraph (a)(4) of this section applies to emergency renovation operations, estimate the combined amount of RACM to be removed or stripped as a result of the sudden, unexpected event that necessitated the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Owners or operators of demolition and renovation operations are exempt from the requirements of §§61.05(a), 61.07, and 61.09.</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Notification requirements. </w:t>
      </w:r>
      <w:r w:rsidRPr="003A6D9C">
        <w:rPr>
          <w:rFonts w:ascii="Times New Roman" w:hAnsi="Times New Roman" w:cs="Times New Roman"/>
          <w:sz w:val="20"/>
          <w:szCs w:val="20"/>
        </w:rPr>
        <w:t>Each owner or operator of a demolition or renovation activity to which this section applies shall: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Provide the Administrator with written notice of intention to demolish or renovate. Delivery of the notice by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Update notice, as necessary, including when the amount of asbestos affected changes by at least 20 percent.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Postmark or deliver the notice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 of this section, notification is required 10 working days before demolition begins.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At least 10 working days before the end of the calendar year preceding the year for which notice is being given for renovations described in paragraph (a)(4)(iii)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As early as possible before, but not later than, the following working day if the operation is a demolition ordered according to paragraph (a)(3) of this section or, if the operation is a renovation described in paragraph (a)(4)(iv)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When the asbestos stripping or removal operation or demolition operation covered by this paragraph will begin after the date contained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 xml:space="preserve">1 </w:t>
      </w:r>
      <w:r w:rsidRPr="003A6D9C">
        <w:rPr>
          <w:rFonts w:ascii="Times New Roman" w:hAnsi="Times New Roman" w:cs="Times New Roman"/>
          <w:sz w:val="20"/>
          <w:szCs w:val="20"/>
        </w:rPr>
        <w:t>) Notify the Administrator of the new start date by telephone as soon as possible before the original start date,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 xml:space="preserve">2 </w:t>
      </w:r>
      <w:r w:rsidRPr="003A6D9C">
        <w:rPr>
          <w:rFonts w:ascii="Times New Roman" w:hAnsi="Times New Roman" w:cs="Times New Roman"/>
          <w:sz w:val="20"/>
          <w:szCs w:val="20"/>
        </w:rPr>
        <w:t>) Provide the Administrator with a written notice of the new start date as soon as possible before, and no later than, the original start date. Delivery of the updated notice by the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When the asbestos stripping or removal operation or demolition operation covered by this paragraph will begin on a date earlier than the original start date,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1</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Provide the Administrator with a written notice of the new start date at least 10 working days before asbestos stripping or removal work begins.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 xml:space="preserve">( </w:t>
      </w:r>
      <w:r w:rsidRPr="003A6D9C">
        <w:rPr>
          <w:rFonts w:ascii="Times New Roman" w:hAnsi="Times New Roman" w:cs="Times New Roman"/>
          <w:i/>
          <w:iCs/>
          <w:sz w:val="20"/>
          <w:szCs w:val="20"/>
        </w:rPr>
        <w:t>2</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For demolitions covered by paragraph (a)(2) of this section, provide the Administrator written notice of a new start date at least 10 working days before commencement of demolition. Delivery of updated notice by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In no event shall an operation covered by this paragraph begin on a date other than the date contained in the written notice of the new start date.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Include the following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An indication of whether the notice is the original or a revised notification.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Name, address, and telephone number of both the facility owner and operator and the asbestos removal contractor owner or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Type of operation: demolition or renovation.</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Description</w:t>
      </w:r>
      <w:proofErr w:type="gramEnd"/>
      <w:r w:rsidRPr="003A6D9C">
        <w:rPr>
          <w:rFonts w:ascii="Times New Roman" w:hAnsi="Times New Roman" w:cs="Times New Roman"/>
          <w:sz w:val="20"/>
          <w:szCs w:val="20"/>
        </w:rPr>
        <w:t xml:space="preserve"> of the facility or affected part of the facility including the size (square meters [square feet] and number of floors), age, and present and prior use of the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Procedure, including analytical methods, employed to detect the presence of RACM and Category I and Category II nonfriable 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 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nonfriable ACM in the affected part of the facility that will not be removed before demolition.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 Location and street address (including building number or name and floor or room number, if appropriate), city, county, and state, of the facility being demolished or renovated.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(viii) 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4)(iii)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w:t>
      </w:r>
      <w:proofErr w:type="gramStart"/>
      <w:r w:rsidRPr="003A6D9C">
        <w:rPr>
          <w:rFonts w:ascii="Times New Roman" w:hAnsi="Times New Roman" w:cs="Times New Roman"/>
          <w:sz w:val="20"/>
          <w:szCs w:val="20"/>
        </w:rPr>
        <w:t>ix</w:t>
      </w:r>
      <w:proofErr w:type="gramEnd"/>
      <w:r w:rsidRPr="003A6D9C">
        <w:rPr>
          <w:rFonts w:ascii="Times New Roman" w:hAnsi="Times New Roman" w:cs="Times New Roman"/>
          <w:sz w:val="20"/>
          <w:szCs w:val="20"/>
        </w:rPr>
        <w:t>) Scheduled starting and completion dates of demolition or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 Description of planned demolition or renovation work to be performed and method(s) to be employed, including demolition or renovation techniques to be used and description of affected facility components.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 Description of work practices and engineering controls to be used to comply with the requirements of this subpart, including asbestos removal and waste-handling emission control procedures.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(xii) Name and location of the waste disposal site where the asbestos-containing waste material will be deposited.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(xiii) A certification that at least one person trained as required by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8) of this section will supervise the stripping and removal described by this notification. This requirement shall become effective 1 year after promulgation of this regulation.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(xiv) 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(xv) 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(xvi) Description of procedures to be followed in the event that unexpected RACM is found or Category II nonfriable ACM becomes crumbled, pulverized, or reduced to powder.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(xvii) Name, address, and telephone number of the waste transporter.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The information required in paragraph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 xml:space="preserve">4) of this section must be reported using a form </w:t>
      </w:r>
      <w:r w:rsidR="00A47389" w:rsidRPr="003A6D9C">
        <w:rPr>
          <w:rFonts w:ascii="Times New Roman" w:hAnsi="Times New Roman" w:cs="Times New Roman"/>
          <w:sz w:val="20"/>
          <w:szCs w:val="20"/>
        </w:rPr>
        <w:t>similar</w:t>
      </w:r>
      <w:r w:rsidRPr="003A6D9C">
        <w:rPr>
          <w:rFonts w:ascii="Times New Roman" w:hAnsi="Times New Roman" w:cs="Times New Roman"/>
          <w:sz w:val="20"/>
          <w:szCs w:val="20"/>
        </w:rPr>
        <w:t xml:space="preserve"> to that shown in Figure 3.</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(c) </w:t>
      </w:r>
      <w:r w:rsidRPr="003A6D9C">
        <w:rPr>
          <w:rFonts w:ascii="Times New Roman" w:hAnsi="Times New Roman" w:cs="Times New Roman"/>
          <w:i/>
          <w:iCs/>
          <w:sz w:val="20"/>
          <w:szCs w:val="20"/>
        </w:rPr>
        <w:t xml:space="preserve">Procedures for asbestos emission control. </w:t>
      </w:r>
      <w:r w:rsidRPr="003A6D9C">
        <w:rPr>
          <w:rFonts w:ascii="Times New Roman" w:hAnsi="Times New Roman" w:cs="Times New Roman"/>
          <w:sz w:val="20"/>
          <w:szCs w:val="20"/>
        </w:rPr>
        <w:t>Each owner or operator of a demolition or renovation activity to whom this paragraph applies, according to paragraph (a) of this section, shall comply with the following procedures: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Remove all RACM from a facility being demolished or renovated before any activity begins that would break up, dislodge, or similarly disturb the material or preclude access to the material for subsequent removal. RACM need not be removed before demolition if: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It is Category I nonfriable ACM that is not in poor condition and is not friable.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It is on a facility component that is encased in concrete or other similarly hard material and is adequately wet whenever exposed during demolition;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They</w:t>
      </w:r>
      <w:proofErr w:type="gramEnd"/>
      <w:r w:rsidRPr="003A6D9C">
        <w:rPr>
          <w:rFonts w:ascii="Times New Roman" w:hAnsi="Times New Roman" w:cs="Times New Roman"/>
          <w:sz w:val="20"/>
          <w:szCs w:val="20"/>
        </w:rPr>
        <w:t xml:space="preserve"> are Category II nonfriable ACM and the probability is low that the materials will become crumbled, pulverized, or reduced to powder during demolition.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When a facility component that contains, is covered with, or is coated with RACM is being taken out of the facility as a unit or in sections: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all RACM exposed during cutting or disjoining operations;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Carefully lower each unit or section to the floor and to ground level, not dropping, throwing, sliding, or otherwise damaging or disturbing the RACM.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When RACM is stripped from a facility component while it remains in place in the facility, adequately wet the RACM during the stripping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In renovation operations, wetting is not required if: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The owner or operator has obtained prior written approval from the Administrator based on a written application that wetting to comply with this paragraph would unavoidably damage equipment or present a safety hazard;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The owner or operator uses of the following emission control methods: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1</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 xml:space="preserve">( </w:t>
      </w:r>
      <w:r w:rsidRPr="003A6D9C">
        <w:rPr>
          <w:rFonts w:ascii="Times New Roman" w:hAnsi="Times New Roman" w:cs="Times New Roman"/>
          <w:i/>
          <w:iCs/>
          <w:sz w:val="20"/>
          <w:szCs w:val="20"/>
        </w:rPr>
        <w:t>2</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A glove-bag system designed and operated to contain the particulate asbestos material produced by the stripping of the asbestos materials.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3</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Leak-tight wrapping to contain all RACM prior to dismantlement.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In renovation operations where wetting would result in equipment damage or a safety hazard, and the methods allowed in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3)(i) of this section cannot be used, another method may be used after obtaining written approval from the Administrator based upon a determination that it is equivalent to wetting in controlling emissions or to the methods allowed in paragraph (c)(3)(i)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A copy of the Administrator's written approval shall be kept at the worksite and made available for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the RACM during stripping;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For large facility components such as reactor vessels, large tanks, and steam generators, but not beams (which must be handled in accordance with paragraphs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 (3), and (4) of this section), the RACM is not required to be stripped if the following requirements are met: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component is removed, transported, stored, disposed of, or reused without disturbing or damaging the RACM.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component is encased in a leak-tight wrapping.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leak-tight wrapping is labeled according to §61.149(d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1)(i), (ii), and (iii) during all loading and unloading operations and during storage.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For all RACM, including material that has been removed or stripped: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the material and ensure that it remains wet until collected and contained or treated in preparation for disposal in accordance with §61.150;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Carefully lower the material to the ground and floor, not dropping, throwing, sliding, or otherwise damaging or disturbing the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Transport the material to the ground via leak-tight chutes or containers if it has been removed or stripped more than 50 feet above ground level and was not removed as units or in sections.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RACM contained in leak-tight wrapping that has been removed in accordance with paragraphs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 xml:space="preserve">4) and (c)(3)(i)(B)( </w:t>
      </w:r>
      <w:r w:rsidRPr="003A6D9C">
        <w:rPr>
          <w:rFonts w:ascii="Times New Roman" w:hAnsi="Times New Roman" w:cs="Times New Roman"/>
          <w:i/>
          <w:iCs/>
          <w:sz w:val="20"/>
          <w:szCs w:val="20"/>
        </w:rPr>
        <w:t xml:space="preserve">3 </w:t>
      </w:r>
      <w:r w:rsidRPr="003A6D9C">
        <w:rPr>
          <w:rFonts w:ascii="Times New Roman" w:hAnsi="Times New Roman" w:cs="Times New Roman"/>
          <w:sz w:val="20"/>
          <w:szCs w:val="20"/>
        </w:rPr>
        <w:t>) of this section need not be wetted.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When the temperature at the point of wetting is below 0 °C (32 °F):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owner or operator need not comply with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2)(i) and the wetting provisions of paragraph (c)(3)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The owner or operator shall remove facility components containing, coated with, or covered with RACM as units or in sections to the maximum extent possible.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(9) For facilities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of this section, adequately wet the portion of the facility that contains RACM during the wrecking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(10) If a facility is demolished by intentional burning, all RACM including Category I and Category II nonfriable ACM must be removed in accordance with the NESHAP before burning.</w:t>
      </w:r>
    </w:p>
    <w:p w:rsidR="00EB7550" w:rsidRPr="003A6D9C" w:rsidRDefault="00C718A9" w:rsidP="00EB7550">
      <w:pPr>
        <w:rPr>
          <w:rStyle w:val="updatebodytest1"/>
          <w:rFonts w:ascii="Times New Roman" w:hAnsi="Times New Roman" w:cs="Times New Roman"/>
          <w:sz w:val="20"/>
          <w:szCs w:val="20"/>
        </w:rPr>
      </w:pPr>
      <w:r w:rsidRPr="00D90B77">
        <w:rPr>
          <w:noProof/>
          <w:sz w:val="20"/>
        </w:rPr>
        <w:drawing>
          <wp:inline distT="0" distB="0" distL="0" distR="0">
            <wp:extent cx="3315335" cy="4251960"/>
            <wp:effectExtent l="0" t="0" r="0" b="0"/>
            <wp:docPr id="8" name="Picture 8"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my9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315335" cy="4251960"/>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49"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C718A9"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drawing>
          <wp:inline distT="0" distB="0" distL="0" distR="0">
            <wp:extent cx="3096895" cy="4201795"/>
            <wp:effectExtent l="0" t="0" r="0" b="0"/>
            <wp:docPr id="9" name="Picture 9"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my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96895" cy="4201795"/>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51"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48419, Nov. 20, 1990; 56 FR 1669, Jan. 16, 1991]</w:t>
      </w:r>
    </w:p>
    <w:p w:rsidR="00EB7550" w:rsidRPr="003A6D9C" w:rsidRDefault="00EB7550" w:rsidP="00EB7550">
      <w:pPr>
        <w:pStyle w:val="Heading5"/>
        <w:rPr>
          <w:sz w:val="20"/>
          <w:szCs w:val="20"/>
        </w:rPr>
      </w:pPr>
      <w:r w:rsidRPr="003A6D9C">
        <w:rPr>
          <w:sz w:val="20"/>
          <w:szCs w:val="20"/>
        </w:rPr>
        <w:t>§ 61.146   Standard for spraying.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The owner or operator of an operation in which asbestos-containing materials are spray applied shall comply with the following requirements: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Notify the Administrator at least 20 days before beginning the spraying operation. Include the following information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Name and address of owner or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Location of spraying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Procedures to be followed to meet the requirements of this paragraph.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Discharge no visible emissions to the outside air from spray-on application of the asbestos-containing material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 Owners or operators of sources subject to this paragraph are exempt from the requirements of §§61.05(a), 61.07 and 61.09.</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48424, Nov. 20, 1990; 60 FR 31920, June 19, 1995]</w:t>
      </w:r>
    </w:p>
    <w:p w:rsidR="00EB7550" w:rsidRPr="003A6D9C" w:rsidRDefault="00EB7550" w:rsidP="00EB7550">
      <w:pPr>
        <w:pStyle w:val="Heading5"/>
        <w:rPr>
          <w:sz w:val="20"/>
          <w:szCs w:val="20"/>
        </w:rPr>
      </w:pPr>
      <w:r w:rsidRPr="003A6D9C">
        <w:rPr>
          <w:sz w:val="20"/>
          <w:szCs w:val="20"/>
        </w:rPr>
        <w:t>§ 61.147   Standard for fabricating.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This section applies to the following fabricating operations using commercial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The fabrication of cement building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The fabrication of friction products, except those operations that primarily install asbestos friction materials on motor vehicles.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The fabrication of cement or silicate board for ventilation hoods; ovens; electrical panels; laboratory furniture, bulkheads, partitions, and ceilings for marine construction; and flow control devices for the molten metal industry.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Standard. </w:t>
      </w:r>
      <w:r w:rsidRPr="003A6D9C">
        <w:rPr>
          <w:rFonts w:ascii="Times New Roman" w:hAnsi="Times New Roman" w:cs="Times New Roman"/>
          <w:sz w:val="20"/>
          <w:szCs w:val="20"/>
        </w:rPr>
        <w:t>Each owner or operator of any of the fabricating operations to which this section applies shall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Discharge no visible emissions to the outside air from any of the operations or from any building or structure in which they are conducted or from any other fugitive sources;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(5) Maintain records of the results of visible emission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Submit semiannually a copy of the visible emission monitoring records to the Administrator if visible emission occurred during the report period. Semiannual reports shall be postmarked by the 30th day following the end of the six-month period.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48424, Nov. 20, 1991; 64 FR 7467, Feb. 12, 1999]</w:t>
      </w:r>
    </w:p>
    <w:p w:rsidR="00EB7550" w:rsidRPr="003A6D9C" w:rsidRDefault="00EB7550" w:rsidP="00EB7550">
      <w:pPr>
        <w:pStyle w:val="Heading5"/>
        <w:rPr>
          <w:sz w:val="20"/>
          <w:szCs w:val="20"/>
        </w:rPr>
      </w:pPr>
      <w:r w:rsidRPr="003A6D9C">
        <w:rPr>
          <w:sz w:val="20"/>
          <w:szCs w:val="20"/>
        </w:rPr>
        <w:t>§ 61.148   Standard for insulating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48424, Nov. 20, 1990]</w:t>
      </w:r>
    </w:p>
    <w:p w:rsidR="00EB7550" w:rsidRPr="003A6D9C" w:rsidRDefault="00EB7550" w:rsidP="00EB7550">
      <w:pPr>
        <w:pStyle w:val="Heading5"/>
        <w:rPr>
          <w:sz w:val="20"/>
          <w:szCs w:val="20"/>
        </w:rPr>
      </w:pPr>
      <w:r w:rsidRPr="003A6D9C">
        <w:rPr>
          <w:sz w:val="20"/>
          <w:szCs w:val="20"/>
        </w:rPr>
        <w:t>§ 61.149   Standard for waste disposal for asbestos mills.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Each owner or operator of any source covered under the provisions of §61.142 shall: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Deposit all asbestos-containing waste material at a waste disposal site operated in accordance with the provisions of §61.154;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Discharge no visible emissions to the outside air during the collection, processing, packaging, or on-site transporting of any asbestos-containing waste material, or use one of the disposal methods specified in paragraphs (c) (1) or (2) of this section,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Use a wetting agent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 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the wetting operation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alternative method will control asbestos emissions equivalent to currently required methods.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suitability of the alternative method for the intended application.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alternative method will not violate other regulations.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alternative method will not result in increased water pollution, land pollution, or occupational hazards.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 When waste is transported by vehicle to a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Mark vehicles used to transport asbestos-containing waste material during the loading and unloading of the waste so that the signs are visible. The markings must: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Be displayed in such a manner and location that a person can easily read the legend.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Conform to the requirements for 51 cm × 36 cm (20 in × 14 in) upright format signs specified in 29 CFR 1910.145(d)(4) and this paragraph;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Legend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DANGER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ASBESTOS DUST HAZARD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CANCER AND LUNG DISEASE HAZARD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Authorized Personnel Only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Notation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2.5 cm (1 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2.5 cm (1 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1.9 cm (3/4inch)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14 Point Gothic</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Spacing between any two lines must be a least equal to the height of the upper of the two lines.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For off-site disposal, provide a copy of the waste shipment record, described in paragraph (e)(1) of this section, to the disposal site owner or operator at the same time as the asbestos-containing waste material is delivered to the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(e) For all asbestos-containing waste material transported off the facility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Maintain asbestos waste shipment records, using a form similar to that shown in Figure 4, and include the following information: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name and address of the local, State, or EPA Regional agency responsible for administering the asbestos NESHAP program.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quantity of the asbestos-containing waste material in cubic meters (cubic yards).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name and telephone number of the disposal site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The name and physical site location of the disposal site.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The</w:t>
      </w:r>
      <w:proofErr w:type="gramEnd"/>
      <w:r w:rsidRPr="003A6D9C">
        <w:rPr>
          <w:rFonts w:ascii="Times New Roman" w:hAnsi="Times New Roman" w:cs="Times New Roman"/>
          <w:sz w:val="20"/>
          <w:szCs w:val="20"/>
        </w:rPr>
        <w:t xml:space="preserve"> date transported.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 The name, address, and telephone number of the transporter(s).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 copy of the waste shipment record for which a confirmation of delivery was not received,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 cover letter signed by the waste generator explaining the efforts taken to locate the asbestos waste shipment and the results of those efforts.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Retain a copy of all waste shipment records, including a copy of the waste shipment record signed by the owner or operator of the designated waste disposal site,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(f) Furnish upon request, and make available for inspection by the Administrator, all records required under this section.</w:t>
      </w:r>
    </w:p>
    <w:p w:rsidR="00EB7550" w:rsidRPr="003A6D9C" w:rsidRDefault="00C718A9" w:rsidP="00EB7550">
      <w:pPr>
        <w:rPr>
          <w:rStyle w:val="updatebodytest1"/>
          <w:rFonts w:ascii="Times New Roman" w:hAnsi="Times New Roman" w:cs="Times New Roman"/>
          <w:sz w:val="20"/>
          <w:szCs w:val="20"/>
        </w:rPr>
      </w:pPr>
      <w:r w:rsidRPr="00D90B77">
        <w:rPr>
          <w:noProof/>
          <w:sz w:val="20"/>
        </w:rPr>
        <w:drawing>
          <wp:inline distT="0" distB="0" distL="0" distR="0">
            <wp:extent cx="3315335" cy="4039235"/>
            <wp:effectExtent l="0" t="0" r="0" b="0"/>
            <wp:docPr id="10" name="Picture 10"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01my9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315335" cy="4039235"/>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53"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C718A9"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lastRenderedPageBreak/>
        <w:drawing>
          <wp:inline distT="0" distB="0" distL="0" distR="0">
            <wp:extent cx="3281680" cy="4381500"/>
            <wp:effectExtent l="0" t="0" r="0" b="0"/>
            <wp:docPr id="11" name="Picture 11"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01my9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281680" cy="4381500"/>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55"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C718A9"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drawing>
          <wp:inline distT="0" distB="0" distL="0" distR="0">
            <wp:extent cx="3253740" cy="2400935"/>
            <wp:effectExtent l="0" t="0" r="0" b="0"/>
            <wp:docPr id="12" name="Picture 12"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01my9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53740" cy="2400935"/>
                    </a:xfrm>
                    <a:prstGeom prst="rect">
                      <a:avLst/>
                    </a:prstGeom>
                    <a:noFill/>
                    <a:ln>
                      <a:noFill/>
                    </a:ln>
                  </pic:spPr>
                </pic:pic>
              </a:graphicData>
            </a:graphic>
          </wp:inline>
        </w:drawing>
      </w:r>
    </w:p>
    <w:p w:rsidR="00EB7550" w:rsidRPr="003A6D9C" w:rsidRDefault="00EB7550" w:rsidP="00EB7550">
      <w:pPr>
        <w:pStyle w:val="NormalWeb"/>
        <w:rPr>
          <w:rFonts w:ascii="Times New Roman" w:hAnsi="Times New Roman" w:cs="Times New Roman"/>
          <w:sz w:val="20"/>
          <w:szCs w:val="20"/>
        </w:rPr>
      </w:pPr>
      <w:hyperlink r:id="rId57" w:history="1">
        <w:r w:rsidRPr="003A6D9C">
          <w:rPr>
            <w:rStyle w:val="Hyperlink"/>
            <w:rFonts w:ascii="Times New Roman" w:hAnsi="Times New Roman" w:cs="Times New Roman"/>
            <w:sz w:val="20"/>
            <w:szCs w:val="20"/>
          </w:rPr>
          <w:t>View or download PDF</w:t>
        </w:r>
      </w:hyperlink>
      <w:r w:rsidRPr="003A6D9C">
        <w:rPr>
          <w:rFonts w:ascii="Times New Roman" w:hAnsi="Times New Roman" w:cs="Times New Roman"/>
          <w:sz w:val="20"/>
          <w:szCs w:val="20"/>
        </w:rPr>
        <w:t xml:space="preserve"> </w:t>
      </w:r>
    </w:p>
    <w:p w:rsidR="00EB7550" w:rsidRPr="003A6D9C" w:rsidRDefault="00EB7550" w:rsidP="00EB7550">
      <w:pPr>
        <w:pStyle w:val="Heading5"/>
        <w:rPr>
          <w:sz w:val="20"/>
          <w:szCs w:val="20"/>
        </w:rPr>
      </w:pPr>
      <w:r w:rsidRPr="003A6D9C">
        <w:rPr>
          <w:sz w:val="20"/>
          <w:szCs w:val="20"/>
        </w:rPr>
        <w:t>§ 61.150   Standard for waste disposal for manufacturing, fabricating, demolition, renovation, and spraying operations.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Each owner or operator of any source covered under the provisions of §§61.144, 61.145, 61.146, and 61.147 shall comply with the following provisions: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Adequately wet asbestos-containing waste material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Mix control device asbestos waste to form a slurry; adequately wet other asbestos-containing waste material;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collection, mixing, wetting, and handling operations, or use the methods specified by §61.152 to clean emissions containing particulate asbestos material before they escape to, or are vented to, the outside air;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After wetting, seal all asbestos-containing waste material in leak-tight containers while wet; or, for materials that will not fit into containers without additional breaking, put materials into leak-tight wrapping;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(iv) 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For asbestos-containing waste material to be transported off the facility site, label containers or wrapped materials with the name of the waste generator and the location at which the waste was generated.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Process asbestos-containing waste material into nonfriable forms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Form all asbestos-containing waste material into nonfriable pellets or other shapes;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collection and processing operations, including incineration, or use the method specified by §61.152 to clean emissions containing particulate asbestos material before they escape to, or are vented to, the outside air.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facilities demolished where the RACM is not removed prior to demolition according to §§61.145(c)(1) (i),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Use an alternative emission control and waste treatment method that has received prior approval by the Administrator according to the procedure described in §61.149(c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As applied to demolition and renovation, the requirements of paragraph (a) of this section do not apply to Category I nonfriable ACM waste and Category II nonfriable ACM waste that did not become crumbled, pulverized, or reduced to powder.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All asbestos-containing waste material shall be deposited as soon as is practical by the waste generator at: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waste disposal site operated in accordance with the provisions of §61.154,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An EPA-approved site that converts RACM and asbestos-containing waste material into nonasbestos (asbestos-free) material according to the provisions of §61.155.</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(3) The requirements of paragraph (b) of this section do not apply to Category I nonfriable ACM that is not RACM.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Mark vehicles used to transport asbestos-containing waste material during the loading and unloading of waste so that the signs are visible. The markings must conform to the requirements of §§61.149(d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(i), (ii), and (iii).</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For all asbestos-containing waste material transported off the facility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Maintain waste shipment records, using a form similar to that shown in Figure 4,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name and address of the local, State, or EPA Regional office responsible for administering the asbestos NESHAP program.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approximate quantity in cubic meters (cubic yards).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name and telephone number of the disposal site operator.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The name and physical site location of the disposal site.</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(vi) The</w:t>
      </w:r>
      <w:proofErr w:type="gramEnd"/>
      <w:r w:rsidRPr="003A6D9C">
        <w:rPr>
          <w:rFonts w:ascii="Times New Roman" w:hAnsi="Times New Roman" w:cs="Times New Roman"/>
          <w:sz w:val="20"/>
          <w:szCs w:val="20"/>
        </w:rPr>
        <w:t xml:space="preserve"> date transported.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(vii) The name, address, and telephone number of the transporter(s).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Provide a copy of the waste shipment record, described in paragraph (d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of this section, to the disposal site owners or operators at the same time as the asbestos-containing waste material is delivered to the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A copy of the waste shipment record for which a confirmation of delivery was not received,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A cover letter signed by the waste generator explaining the efforts taken to locate the asbestos waste shipment and the results of those efforts.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Retain a copy of all waste shipment records, including a copy of the waste shipment record signed by the owner or operator of the designated waste disposal site,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Furnish upon request, and make available for inspection by the Administrator, all records required under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48429, Nov. 20, 1990; 56 FR 1669, Jan. 16, 1991, as amended at 68 FR 54793, Sept. 18, 2003]</w:t>
      </w:r>
    </w:p>
    <w:p w:rsidR="00EB7550" w:rsidRPr="003A6D9C" w:rsidRDefault="00EB7550" w:rsidP="00EB7550">
      <w:pPr>
        <w:pStyle w:val="Heading5"/>
        <w:jc w:val="both"/>
        <w:rPr>
          <w:sz w:val="20"/>
          <w:szCs w:val="20"/>
        </w:rPr>
      </w:pPr>
      <w:r w:rsidRPr="003A6D9C">
        <w:rPr>
          <w:sz w:val="20"/>
          <w:szCs w:val="20"/>
        </w:rPr>
        <w:lastRenderedPageBreak/>
        <w:t>§ 61.151   Standard for inactive waste disposal sites for asbestos mills and manufacturing and fabricating operations.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any inactive waste disposal site that was operated by sources covered under §61.142, 61.144, or 61.147 and received deposits of asbestos-containing waste material generated by the sources,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Comply with one of the following: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Either discharge no visible emissions to the outside air from an inactive waste disposal site subject to this paragraph;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Cover the asbestos-containing waste material with at least 60 centimeters (2 feet) of compacted nonasbestos-containing material, and maintain it to prevent exposure of the asbestos-containing waste;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Unless a natural barrier adequately deters access by the general public, install and maintain warning signs and fencing as follows, or comply with paragraph (a)(2) or (a)(3)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Display warning signs at all entrances and at intervals of 100 m (328 ft) or less along the property line of the site or along the perimeter of the sections of the site where asbestos-containing waste material was deposited. The warning signs must: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Be posted in such a manner and location that a person can easily read the legend;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Conform to the requirements for 51 cm×36 cm (20&amp;inch</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14&amp;inch;) upright format signs specified in 29 CFR 1910.145(d)(4) and this paragraph;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49"/>
        <w:gridCol w:w="4959"/>
      </w:tblGrid>
      <w:tr w:rsidR="00EB7550" w:rsidRPr="003A6D9C"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Legend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Notation</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Asbestos Waste Disposal Site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2.5 cm (1 inch) Sans Serif, Gothic or Block</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 Not Create Dust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1.9 cm ( 3/4 inch) Sans Serif, Gothic or Block</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Breathing Asbestos is Hazardous to Your Health</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14 Point Gothic.</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Spacing between any two lines must be at least equal to the height of the upper of the two lines.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Fence the perimeter of the site in a manner adequate to deter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When requesting a determination on whether a natural barrier adequately deters public access, supply information enabling the Administrator to determine whether a fence or a natural barrier adequately deters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(c) The owner or operator may use an alternative control method that has received prior approval of the Administrator rather than comply with the requirements of paragraph (a) or (b)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Scheduled starting and completion dates.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Reason for disturbing the waste.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Location of any temporary storage site and the final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The land has been used for the disposal of asbestos-containing waste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The survey plot and record of the location and quantity of asbestos-containing waste disposed of within the disposal site required in §61.154(f) have been filed with the Administrator;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The site is subject to 40 CFR part 61, subpart 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as amended at 53 FR 36972, Sept. 23, 1988. Redesignated and amended at 55 FR 48429, Nov. 20, 1990]</w:t>
      </w:r>
    </w:p>
    <w:p w:rsidR="00EB7550" w:rsidRPr="003A6D9C" w:rsidRDefault="00EB7550" w:rsidP="00EB7550">
      <w:pPr>
        <w:pStyle w:val="Heading5"/>
        <w:jc w:val="both"/>
        <w:rPr>
          <w:sz w:val="20"/>
          <w:szCs w:val="20"/>
        </w:rPr>
      </w:pPr>
      <w:r w:rsidRPr="003A6D9C">
        <w:rPr>
          <w:sz w:val="20"/>
          <w:szCs w:val="20"/>
        </w:rPr>
        <w:t>§ 61.152   Air-cleaning.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(a) The owner or operator who uses air cleaning, as specified in §§61.142(a), 61.144(b)(2), 61.145(c)(3)(i)(B)( </w:t>
      </w:r>
      <w:r w:rsidRPr="003A6D9C">
        <w:rPr>
          <w:rFonts w:ascii="Times New Roman" w:hAnsi="Times New Roman" w:cs="Times New Roman"/>
          <w:i/>
          <w:iCs/>
          <w:sz w:val="20"/>
          <w:szCs w:val="20"/>
        </w:rPr>
        <w:t xml:space="preserve">1 </w:t>
      </w:r>
      <w:r w:rsidRPr="003A6D9C">
        <w:rPr>
          <w:rFonts w:ascii="Times New Roman" w:hAnsi="Times New Roman" w:cs="Times New Roman"/>
          <w:sz w:val="20"/>
          <w:szCs w:val="20"/>
        </w:rPr>
        <w:t>), 61.145(c)(4)(ii), 61.145(c)(11)(i), 61.146(b)(2), 61.147(b)(2), 61.149(b), 61.149(c)(1)(ii), 61.150(a)(1)(ii), 61.150(a)(2)(ii), and 61.155(e)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Use fabric filter collection devices, except as noted in paragraph (b) of this section, doing all of the following: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Ensuring that the airflow permeability, as determined by ASTM Method D737–75, does not exceed 9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(30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woven fabrics or 11</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(35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felted fabrics, except that 12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(40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woven and 14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(45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felted fabrics is allowed for filtering air from asbestos ore dryers;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Ensuring that felted fabric weighs at least 475 grams per square meter (14 ounces per square yard) and is at least 1.6 millimeters (one-sixteenth inch) thick throughout;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Avoiding the use of synthetic fabrics that contain fill yarn other than that which is spun.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(2) 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fabric filter collection devices installed after January 10, 1989, provide for easy inspection for faulty bags.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There are the following exceptions to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Use a HEPA filter that is certified to be at least 99.97 percent efficient for 0.3 micron particles.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49 FR 25453, June 21, 1984, as amended at 51 FR 8199, Mar. 10, 1986. Redesignated and amended at 55 FR 48430, Nov. 20, 1990]</w:t>
      </w:r>
    </w:p>
    <w:p w:rsidR="00EB7550" w:rsidRPr="003A6D9C" w:rsidRDefault="00EB7550" w:rsidP="00EB7550">
      <w:pPr>
        <w:pStyle w:val="Heading5"/>
        <w:jc w:val="both"/>
        <w:rPr>
          <w:sz w:val="20"/>
          <w:szCs w:val="20"/>
        </w:rPr>
      </w:pPr>
      <w:r w:rsidRPr="003A6D9C">
        <w:rPr>
          <w:sz w:val="20"/>
          <w:szCs w:val="20"/>
        </w:rPr>
        <w:t>§ 61.153   Reporting.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description of the emission control equipment used for each process;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If the fabric device uses a woven fabric,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and; if the fabric is synthetic, whether the fill yarn is spun or not spun;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If the fabric filter device uses a felted fabric, the density in g/m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the minimum thickness in inches, and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If a fabric filter device is used to control emissions,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if the fabric filter device uses a woven fabric, and, if the fabric is synthetic, whether the fill yarn is spun or not spun;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If the fabric filter device uses a felted fabric, the density in g/m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roofErr w:type="spellStart"/>
      <w:r w:rsidRPr="003A6D9C">
        <w:rPr>
          <w:rFonts w:ascii="Times New Roman" w:hAnsi="Times New Roman" w:cs="Times New Roman"/>
          <w:sz w:val="20"/>
          <w:szCs w:val="20"/>
        </w:rPr>
        <w:t>oz</w:t>
      </w:r>
      <w:proofErr w:type="spellEnd"/>
      <w:r w:rsidRPr="003A6D9C">
        <w:rPr>
          <w:rFonts w:ascii="Times New Roman" w:hAnsi="Times New Roman" w:cs="Times New Roman"/>
          <w:sz w:val="20"/>
          <w:szCs w:val="20"/>
        </w:rPr>
        <w:t>/yd</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the minimum thickness in millimeters (inches), and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If a HEPA filter is used to control emissions, the certified efficiency.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For sources subject to §§61.149 and 61.150:</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(i) A brief description of each process that generates asbestos-containing waste material;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average volume of asbestos-containing waste material disposed of, measured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/day (yd</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/day);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emission control methods used in all stages of waste disposal; and</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type of disposal site or incineration site used for ultimate disposal, the name of the site operator, and the name and location of the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For sources subject to §§61.151 and 61.154: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A brief description of the site;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method or methods used to comply with the standard, or alternative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(Sec. 114. Clean Air Act as amended (42 U.S.C. 7414))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48430, Nov. 20, 1990; 56 FR 1669, Jan. 16, 1991]</w:t>
      </w:r>
    </w:p>
    <w:p w:rsidR="00EB7550" w:rsidRPr="003A6D9C" w:rsidRDefault="00EB7550" w:rsidP="00EB7550">
      <w:pPr>
        <w:pStyle w:val="Heading5"/>
        <w:jc w:val="both"/>
        <w:rPr>
          <w:sz w:val="20"/>
          <w:szCs w:val="20"/>
        </w:rPr>
      </w:pPr>
      <w:r w:rsidRPr="003A6D9C">
        <w:rPr>
          <w:sz w:val="20"/>
          <w:szCs w:val="20"/>
        </w:rPr>
        <w:t>§ 61.154   Standard for active waste disposal sites.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 active waste disposal site that receives asbestos-containing waste material from a source covered under §61.149, 61.150, or 61.155 shall meet the requirements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Either there must be no visible emissions to the outside air from any active waste disposal site where asbestos-containing waste material has been deposited, or the requirements of paragraph (c) or (d) of this section must be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Unless a natural barrier adequately deters access by the general public, either warning signs and fencing must be installed and maintained as follows, or the requirements of paragraph (c)(1) of this section must be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Warning signs must be displayed at all entrances and at intervals of 100 m (330 ft) or less along the property line of the site or along the perimeter of the sections of the site where asbestos-containing waste material is deposited. The warning signs must: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Be posted in such a manner and location that a person can easily read the legend;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Conform to the requirements of 51 cm × 36 cm (20&amp;inch</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14&amp;inch;) upright format signs specified in 29 CFR 1910.145(d)(4) and this paragraph;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47"/>
        <w:gridCol w:w="4961"/>
      </w:tblGrid>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Legend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Notation</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Asbestos Waste Disposal Site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2.5 cm (1 inch) Sans Serif, Gothic or Block.</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 Not Create Dust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both"/>
              <w:rPr>
                <w:sz w:val="20"/>
              </w:rPr>
            </w:pPr>
            <w:r w:rsidRPr="003A6D9C">
              <w:rPr>
                <w:sz w:val="20"/>
              </w:rPr>
              <w:t>1.9 cm (3/4 inch) Sans Serif, Gothic or Block.</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lastRenderedPageBreak/>
              <w:t>Breathing Asbestos is Hazardous to Your Health</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14 Point Gothic.</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Spacing between any two lines must be at least equal to the height of the upper of the two lines.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The perimeter of the disposal site must be fenced in a manner adequate to deter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Upon request and supply of appropriate information, the Administrator will determine whether a fence or a natural barrier adequately deters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Be covered with at least 15 centimeters (6 inches) of compacted nonasbestos-containing material,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Rather than meet the no visible emission requirement of paragraph (a) of this section, use an alternative emissions control method that has received prior written approval by the Administrator according to the procedures described in §61.149(c)(2).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For all asbestos-containing waste material received, the owner or operator of the active waste disposal site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Maintain waste shipment records, using a form similar to that shown in Figure 4,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name, address, and telephone number of the transporter(s).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quantity of the asbestos-containing waste material in cubic meters (cubic yards).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The date of the receipt.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As soon as possible and no longer than 30 days after receipt of the waste, send a copy of the signed waste shipment record to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w:t>
      </w:r>
      <w:r w:rsidRPr="003A6D9C">
        <w:rPr>
          <w:rFonts w:ascii="Times New Roman" w:hAnsi="Times New Roman" w:cs="Times New Roman"/>
          <w:sz w:val="20"/>
          <w:szCs w:val="20"/>
        </w:rPr>
        <w:lastRenderedPageBreak/>
        <w:t>or EPA Regional office responsible for administering the asbestos NESHAP program for the disposal site. Describe the discrepancy and attempts to reconcile it, and submit a copy of the waste shipment record along with the report.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Retain a copy of all records and reports required by this paragraph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(f) Maintain, until closure, records of the location, depth and area, and quantity in cubic meters (cubic yards) of asbestos-containing waste material within the disposal site on a map or diagram of the disposal area.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(g) Upon closure, comply with all the provisions of §61.151.</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(h) Submit to the Administrator, upon closure of the facility, a copy of records of asbestos waste disposal locations and quantities.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Furnish upon request, and make available during normal business hours for inspection by the Administrator, all records required under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Scheduled starting and completion dates.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Reason for disturbing the waste.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Location of any temporary storage site and the final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w:t>
      </w:r>
      <w:proofErr w:type="spellStart"/>
      <w:r w:rsidRPr="003A6D9C">
        <w:rPr>
          <w:rFonts w:ascii="Times New Roman" w:hAnsi="Times New Roman" w:cs="Times New Roman"/>
          <w:sz w:val="20"/>
          <w:szCs w:val="20"/>
        </w:rPr>
        <w:t>Secs</w:t>
      </w:r>
      <w:proofErr w:type="spellEnd"/>
      <w:r w:rsidRPr="003A6D9C">
        <w:rPr>
          <w:rFonts w:ascii="Times New Roman" w:hAnsi="Times New Roman" w:cs="Times New Roman"/>
          <w:sz w:val="20"/>
          <w:szCs w:val="20"/>
        </w:rPr>
        <w:t>. 112 and 301(a) of the Clean Air Act as amended (42 U.S.C. 7412, 7601(a))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1990. Redesignated and amended at 55 FR 48431, Nov. 20, 1990; 56 FR 1669, Jan. 16, 1991]</w:t>
      </w:r>
    </w:p>
    <w:p w:rsidR="00EB7550" w:rsidRPr="003A6D9C" w:rsidRDefault="00EB7550" w:rsidP="00EB7550">
      <w:pPr>
        <w:pStyle w:val="Heading5"/>
        <w:jc w:val="both"/>
        <w:rPr>
          <w:sz w:val="20"/>
          <w:szCs w:val="20"/>
        </w:rPr>
      </w:pPr>
      <w:r w:rsidRPr="003A6D9C">
        <w:rPr>
          <w:sz w:val="20"/>
          <w:szCs w:val="20"/>
        </w:rPr>
        <w:t>§ 61.155   Standard for operations that convert asbestos-containing waste material into nonasbestos (asbestos-free)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 operation that converts RACM and asbestos-containing waste material into nonasbestos (asbestos-free) material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Obtain the prior written approval of the Administrator to construct the facility. To obtain approval, the owner or operator shall provide the Administrator with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Application to construct pursuant to §61.07.</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In addition to the information requirements of §61.07(b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Description of waste feed handling and temporary storage.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Description of process operating conditions.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w:t>
      </w:r>
      <w:proofErr w:type="gramStart"/>
      <w:r w:rsidRPr="003A6D9C">
        <w:rPr>
          <w:rFonts w:ascii="Times New Roman" w:hAnsi="Times New Roman" w:cs="Times New Roman"/>
          <w:sz w:val="20"/>
          <w:szCs w:val="20"/>
        </w:rPr>
        <w:t>iii</w:t>
      </w:r>
      <w:proofErr w:type="gramEnd"/>
      <w:r w:rsidRPr="003A6D9C">
        <w:rPr>
          <w:rFonts w:ascii="Times New Roman" w:hAnsi="Times New Roman" w:cs="Times New Roman"/>
          <w:sz w:val="20"/>
          <w:szCs w:val="20"/>
        </w:rPr>
        <w:t>) Description of the handling and temporary storage of the end product.</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Description</w:t>
      </w:r>
      <w:proofErr w:type="gramEnd"/>
      <w:r w:rsidRPr="003A6D9C">
        <w:rPr>
          <w:rFonts w:ascii="Times New Roman" w:hAnsi="Times New Roman" w:cs="Times New Roman"/>
          <w:sz w:val="20"/>
          <w:szCs w:val="20"/>
        </w:rPr>
        <w:t xml:space="preserve"> of the protocol to be followed when analyzing output materials by transmission electron microscopy.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Performance test protocol, including provisions for obtaining information required under paragraph (b)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The Administrator may require that a demonstration of the process be performed prior to approval of the application to construct.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Conduct a start-up performance test. Test results shall include: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(1) A detailed description of the types and quantities of nonasbestos material, RACM, and asbestos-containing waste material processed, </w:t>
      </w:r>
      <w:r w:rsidRPr="003A6D9C">
        <w:rPr>
          <w:rFonts w:ascii="Times New Roman" w:hAnsi="Times New Roman" w:cs="Times New Roman"/>
          <w:i/>
          <w:iCs/>
          <w:sz w:val="20"/>
          <w:szCs w:val="20"/>
        </w:rPr>
        <w:t xml:space="preserve">e.g., </w:t>
      </w:r>
      <w:r w:rsidRPr="003A6D9C">
        <w:rPr>
          <w:rFonts w:ascii="Times New Roman" w:hAnsi="Times New Roman" w:cs="Times New Roman"/>
          <w:sz w:val="20"/>
          <w:szCs w:val="20"/>
        </w:rPr>
        <w:t>asbestos cement products, friable asbestos insulation, plaster, wood, plastic, wire, etc. Test feed is to include the full range of materials that will be encountered in actual operation of the process.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Results of analyses, using polarized light microscopy, that document the asbestos content of the wastes processed.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A description of operating parameters, such as temperature and residence time, defining the full range over which the process is expected to operate to produce nonasbestos (asbestos-free) materials. Specify the limits for each operating parameter within which the process will produce nonasbestos (asbestos-free)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The length of the test.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During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Continuously monitor and log the operating parameters identified during start-up performance tests that are intended to ensure the production of nonasbestos (asbestos-free) output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Monitor input materials to ensure that they are consistent with the test feed materials described during start-up performance tests in paragraph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After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Continuously monitor and record the operating parameters identified during start-up performance testing and any subsequent performance testing. Any output produced during a period of deviation from the range of operating conditions established to ensure the production of nonasbestos (asbestos-free) output materials shall be: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Disposed of as asbestos-containing waste material according to §61.150,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Recycled as waste feed during process operation within the established range of operating conditions,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(iii) Stored temporarily on-site in a leak-tight container until analyzed for asbestos content. Any product material that is not asbestos-free shall be either disposed of as asbestos-containing waste material or recycled as waste feed to the process.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Collect and analyze monthly composite samples (one 200-gram (7-ounce) sample collected every 8 hours of operation) of the output material. Transmission electron microscopy shall be used to analyze the output material for the presence of asbestos.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Discharge no visible emissions to the outside air from any part of the operation, or use the methods specified by §61.152 to clean emissions containing particulate asbestos material before they escape to, or are vented to, the outside air.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(f) Maintain records on-site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Results of start-up performance testing and all subsequent performance testing, including operating parameters, feed characteristic, and analyses of output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Results of the composite analyses required during the initial 90 days of operation under §61.155(c).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Results of the monthly composite analyses required under §61.155(d).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Results of continuous monitoring and logs of process operating parameters required under §61.155 (c) and (d).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The information on waste shipments received as required in §61.154(e).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(6) For output materials where no analyses were performed to determine the presence of asbestos, record the name and location of the purchaser or disposal site to which the output materials were sold or deposited, and the date of sale or disposal.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(7) Retain records required by paragraph (f) of this section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(g) Submit the following reports to the Administrator: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report for each analysis of product composite samples performed during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 quarterly report, including the following information concerning activities during</w:t>
      </w:r>
      <w:r w:rsidR="00E15331">
        <w:rPr>
          <w:rFonts w:ascii="Times New Roman" w:hAnsi="Times New Roman" w:cs="Times New Roman"/>
          <w:sz w:val="20"/>
          <w:szCs w:val="20"/>
        </w:rPr>
        <w:t xml:space="preserve"> </w:t>
      </w:r>
      <w:r w:rsidRPr="003A6D9C">
        <w:rPr>
          <w:rFonts w:ascii="Times New Roman" w:hAnsi="Times New Roman" w:cs="Times New Roman"/>
          <w:sz w:val="20"/>
          <w:szCs w:val="20"/>
        </w:rPr>
        <w:t>each</w:t>
      </w:r>
      <w:r w:rsidR="00E15331">
        <w:rPr>
          <w:rFonts w:ascii="Times New Roman" w:hAnsi="Times New Roman" w:cs="Times New Roman"/>
          <w:sz w:val="20"/>
          <w:szCs w:val="20"/>
        </w:rPr>
        <w:t xml:space="preserve"> </w:t>
      </w:r>
      <w:r w:rsidRPr="003A6D9C">
        <w:rPr>
          <w:rFonts w:ascii="Times New Roman" w:hAnsi="Times New Roman" w:cs="Times New Roman"/>
          <w:sz w:val="20"/>
          <w:szCs w:val="20"/>
        </w:rPr>
        <w:t>consecutive 3-month period: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Results of analyses of monthly product composite samples.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A description of any deviation from the operating parameters established during performance testing, the duration of the deviation, and steps taken to correct the deviation.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Disposition of any product produced during a period of deviation, including whether it was recycled, disposed of as asbestos-containing waste material, or stored temporarily on-site until analyzed for asbestos content.</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information on waste disposal activities as required in §61.154(f).</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(h) Nonasbestos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asbestos-containing waste and shall be handled and disposed of according to §§61.150 and 61.154 or reprocessed while all of the established operating parameters are being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48431, Nov. 20, 1990]</w:t>
      </w:r>
    </w:p>
    <w:p w:rsidR="00EB7550" w:rsidRPr="003A6D9C" w:rsidRDefault="00EB7550" w:rsidP="00EB7550">
      <w:pPr>
        <w:pStyle w:val="Heading5"/>
        <w:jc w:val="both"/>
        <w:rPr>
          <w:sz w:val="20"/>
          <w:szCs w:val="20"/>
        </w:rPr>
      </w:pPr>
      <w:r w:rsidRPr="003A6D9C">
        <w:rPr>
          <w:sz w:val="20"/>
          <w:szCs w:val="20"/>
        </w:rPr>
        <w:lastRenderedPageBreak/>
        <w:t>§ 61.156   Cross-reference to other asbestos regulations.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rsidR="00EB7550" w:rsidRPr="003A6D9C" w:rsidRDefault="00EB7550" w:rsidP="00EB7550">
      <w:pPr>
        <w:pStyle w:val="tabletitle"/>
        <w:jc w:val="both"/>
        <w:rPr>
          <w:sz w:val="20"/>
          <w:szCs w:val="20"/>
        </w:rPr>
      </w:pPr>
      <w:r w:rsidRPr="003A6D9C">
        <w:rPr>
          <w:sz w:val="20"/>
          <w:szCs w:val="20"/>
        </w:rPr>
        <w:t>Table 1—Cross-Reference to Other Asbestos Regulations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4"/>
        <w:gridCol w:w="1468"/>
        <w:gridCol w:w="8076"/>
      </w:tblGrid>
      <w:tr w:rsidR="00EB7550" w:rsidRPr="003A6D9C"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Agency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CFR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Comment</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EPA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763, subpart 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Requires schools to inspect for asbestos and implement response actions and submit asbestos management plans to States. Specifies use of accredited inspectors, air sampling methods, and waste disposal procedures.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427</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Effluent standards for asbestos manufacturing source categories.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763, subpart G</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Protects public employees performing asbestos abatement work in States not covered by OSHA asbestos standard.</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OSHA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center"/>
              <w:rPr>
                <w:sz w:val="20"/>
              </w:rPr>
            </w:pPr>
            <w:r w:rsidRPr="003A6D9C">
              <w:rPr>
                <w:sz w:val="20"/>
              </w:rPr>
              <w:t>29 CFR 1910.1001</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Worker protection measures-engineering controls, worker training, labeling, respiratory protection, bagging of waste, permissible exposure level.</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center"/>
              <w:rPr>
                <w:sz w:val="20"/>
              </w:rPr>
            </w:pPr>
            <w:r w:rsidRPr="003A6D9C">
              <w:rPr>
                <w:sz w:val="20"/>
              </w:rPr>
              <w:t>29 CFR 1926.1101</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Worker protection measures for all construction work involving asbestos, including demolition and renovation-work practices, worker training, bagging of waste, permissible exposure level.</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MSHA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30 CFR part 56, subpart D</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Specifies exposure limits, engineering controls, and respiratory protection measures for workers in surface mines.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30 CFR part 57, subpart D</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Specifies exposure limits, engineering controls, and respiratory protection measures for workers in underground mines.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49 CFR parts 171 and 172</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Regulates the transportation of asbestos-containing waste material. Requires waste containment and shipping papers.</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48432, Nov. 20, 1990, as amended at 60 FR 31920, June 19, 1995; 68 FR 54793, Sept. 18, 2003; 69 FR 43324, July 20, 2004]</w:t>
      </w:r>
    </w:p>
    <w:p w:rsidR="00EB7550" w:rsidRPr="003A6D9C" w:rsidRDefault="00EB7550" w:rsidP="00EB7550">
      <w:pPr>
        <w:pStyle w:val="Heading5"/>
        <w:jc w:val="both"/>
        <w:rPr>
          <w:sz w:val="20"/>
          <w:szCs w:val="20"/>
        </w:rPr>
      </w:pPr>
      <w:r w:rsidRPr="003A6D9C">
        <w:rPr>
          <w:sz w:val="20"/>
          <w:szCs w:val="20"/>
        </w:rPr>
        <w:t>§ 61.157   Delegation of authority.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In delegating implementation and enforcement authority to a State under section 112(d) of the Act, the authorities contained in paragraph (b) of this section shall be retained by the Administrator and not transferred to a State.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Authorities that will not be delegated to States: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Section 61.149(c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Section 61.150(a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Section 61.151(c)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Section 61.152(b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Section 61.154(d)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(6) Section 61.155(a).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[55 FR 48433, Nov. 20, 1990]</w:t>
      </w:r>
    </w:p>
    <w:p w:rsidR="00EB7550" w:rsidRPr="003A6D9C" w:rsidRDefault="00EB7550" w:rsidP="00EB7550">
      <w:pPr>
        <w:pStyle w:val="Heading5"/>
        <w:jc w:val="both"/>
        <w:rPr>
          <w:sz w:val="20"/>
          <w:szCs w:val="20"/>
        </w:rPr>
      </w:pPr>
      <w:r w:rsidRPr="003A6D9C">
        <w:rPr>
          <w:sz w:val="20"/>
          <w:szCs w:val="20"/>
        </w:rPr>
        <w:t>Appendix A to Subpart M of Part 61—Interpretive Rule Governing Roof Removal Operations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 Applicability of the Asbestos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1.1. Asbestos-containing material (ACM) is material containing more than one percent asbestos as determined using the methods specified in appendix E, subpart E, 40 CFR part 763, section 1, Polarized Light Microscopy. The NESHAP classifies ACM as either “friable” or “nonfriable”. Friable ACM is ACM that, when dry, can be crumbled, pulverized or reduced to powder by hand pressure. Nonfriable ACM is ACM that, when dry, cannot be crumbled, pulverized or reduced to powder by hand pressure.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1.2. Nonfriable ACM is further classified as either Category I ACM or Category II ACM. Category I ACM and Category II ACM are distinguished from each other by their potential to release fibers when damaged. Category I ACM includes asbestos-containing gaskets, packings, resilient floor coverings, resilient floor covering mastic, and asphalt roofing products containing more than one percent asbestos. Asphalt roofing products which may contain asbestos include built-up roofing; asphalt-containing single ply membrane systems; asphalt shingles; asphalt-containing underlayment felts; asphalt-containing roof coatings and mastics; and asphalt-containing base flashings. ACM roofing products that use other bituminous or resinous binders (such as coal tars or pitches) are also considered to be Category I ACM. Category II ACM includes all other nonfriable ACM, for example, asbestos-cement (A/C) shingles, A/C tiles, and transite boards or panels containing more than one percent asbestos. Generally speaking, Category II ACM is more likely to become friable when damaged than is Category I ACM. The applicability of the NESHAP to Category I and II ACM depends on: (1) the condition of the material at the time of demolition or renovation, (2) the nature of the operation to which the material will be subjected, (3) the amount of ACM involved.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1.3. Asbestos-containing material regulated under the NESHAP is referred to as “regulated asbestos-containing material” (RACM). RACM is defined in §61.141 of the NESHAP and includes: (1) friable asbestos-containing material; (2) Category I nonfriable ACM that has become friable; (3) Category I nonfriable ACM that has been or will be sanded, ground, cut, or abraded; or (4) Category II nonfriable ACM that has already been or is likely to become crumbled, pulverized, or reduced to powder. If the coverage threshold for RACM is met or exceeded in a renovation or demolition operation, then all friable ACM in the operation, and in certain situations, nonfriable ACM in the operation, are subject to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Threshold Amounts of Asbestos-Containing Roofing Material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1.A.1</w:t>
      </w:r>
      <w:proofErr w:type="gramEnd"/>
      <w:r w:rsidRPr="003A6D9C">
        <w:rPr>
          <w:rFonts w:ascii="Times New Roman" w:hAnsi="Times New Roman" w:cs="Times New Roman"/>
          <w:sz w:val="20"/>
          <w:szCs w:val="20"/>
        </w:rPr>
        <w:t>. The NESHAP does not cover roofing projects on single family homes or on residential buildings containing four or fewer dwelling units. 40 CFR 61.141. For other roofing renovation projects, if the total asbestos-containing roof area undergoing renovation is less than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the NESHAP does not apply, regardless of the removal method to be used, the type of material (Category I or II), or its condition (friable versus nonfriable). 40 CFR 61.145(a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 However, EPA would recommend the use of methods that damage asbestos-containing roofing material as little as possible. EPA has determined that where a rotating blade (RB) roof cutter or equipment that similarly damages the roofing material is used to remove Category I nonfriable asbestos-containing roofing material, the removal of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of that material will create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of RACM. For the purposes of this interpretive rule, “RB roof cutter” means an engine-powered roof cutting machine with one or more rotating cutting blades the edges of which are blunt. (Equipment with blades having sharp or tapered edges, and/or which does not use a rotating blade, is used for “slicing” rather than “cutting” the roofing material; such equipment is not included in the term “RB roof cutter”.) Therefore, it is EPA's interpretation that when an RB roof cutter or equipment that similarly damages the roofing material is used to remove Category I nonfriable asbestos-containing roofing material, any project that is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greater is subject to the NESHAP; conversely, it is EPA's interpretation that when an RB roof cutter or equipment that similarly damages the roofing material is used to remove Category I nonfriable asbestos-containing roofing material in a roof removal project that is less than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the project is not subject to the NESHAP, except that notification is always required for demolitions. EPA further construes the NESHAP to mean that if slicing or other methods that do not sand, grind, cut or abrade will be used on Category I nonfriable ACM, the NESHAP does not apply, regardless of the area of roof to be removed.</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1.A.2</w:t>
      </w:r>
      <w:proofErr w:type="gramEnd"/>
      <w:r w:rsidRPr="003A6D9C">
        <w:rPr>
          <w:rFonts w:ascii="Times New Roman" w:hAnsi="Times New Roman" w:cs="Times New Roman"/>
          <w:sz w:val="20"/>
          <w:szCs w:val="20"/>
        </w:rPr>
        <w:t>. For asbestos cement (A/C) shingles (or other Category II roofing material), if the area of the roofing material to be removed is at least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and the removal methods will crumble, pulverize, reduce to powder, or contaminate with RACM (from other ACM that has been crumbled, pulverized or reduced to powder)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such roofing material, the removal is subject to the NESHAP. Conversely, if the area of the A/C shingles (or other Category II roofing materials) to be removed is less than </w:t>
      </w:r>
      <w:r w:rsidRPr="003A6D9C">
        <w:rPr>
          <w:rFonts w:ascii="Times New Roman" w:hAnsi="Times New Roman" w:cs="Times New Roman"/>
          <w:sz w:val="20"/>
          <w:szCs w:val="20"/>
        </w:rPr>
        <w:lastRenderedPageBreak/>
        <w:t xml:space="preserve">160 </w:t>
      </w:r>
      <w:proofErr w:type="gramStart"/>
      <w:r w:rsidRPr="003A6D9C">
        <w:rPr>
          <w:rFonts w:ascii="Times New Roman" w:hAnsi="Times New Roman" w:cs="Times New Roman"/>
          <w:sz w:val="20"/>
          <w:szCs w:val="20"/>
        </w:rPr>
        <w:t>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roofErr w:type="gramEnd"/>
      <w:r w:rsidRPr="003A6D9C">
        <w:rPr>
          <w:rFonts w:ascii="Times New Roman" w:hAnsi="Times New Roman" w:cs="Times New Roman"/>
          <w:sz w:val="20"/>
          <w:szCs w:val="20"/>
        </w:rPr>
        <w:t xml:space="preserve"> the removal is not subject to the NESHAP regardless of the removal method used, except that notification is always required for demolitions. 40 CFR 61.145(a). However, EPA would recommend the use of methods that damage asbestos-containing roofing material as little as possible. If A/C shingles (or other Category II roofing materials) are removed without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such roofing material being crumbled, pulverized, reduced to powder, or contaminated with RACM (from other ACM that has been crumbled, pulverized or reduced to powder), the operation is not subject to the NESHAP, even where the total area of the roofing material to be removed exceeds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provided, however, that if the renovation includes other operations involving RACM, the roof removal operation is covered if the total area of RACM from all renovation activities exceeds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w:t>
      </w:r>
      <w:r w:rsidRPr="003A6D9C">
        <w:rPr>
          <w:rFonts w:ascii="Times New Roman" w:hAnsi="Times New Roman" w:cs="Times New Roman"/>
          <w:i/>
          <w:iCs/>
          <w:sz w:val="20"/>
          <w:szCs w:val="20"/>
        </w:rPr>
        <w:t xml:space="preserve">See </w:t>
      </w:r>
      <w:r w:rsidRPr="003A6D9C">
        <w:rPr>
          <w:rFonts w:ascii="Times New Roman" w:hAnsi="Times New Roman" w:cs="Times New Roman"/>
          <w:sz w:val="20"/>
          <w:szCs w:val="20"/>
        </w:rPr>
        <w:t>the definition of regulated asbestos-containing material (RACM), 40 CFR 61.141.</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1.A.3</w:t>
      </w:r>
      <w:proofErr w:type="gramEnd"/>
      <w:r w:rsidRPr="003A6D9C">
        <w:rPr>
          <w:rFonts w:ascii="Times New Roman" w:hAnsi="Times New Roman" w:cs="Times New Roman"/>
          <w:sz w:val="20"/>
          <w:szCs w:val="20"/>
        </w:rPr>
        <w:t xml:space="preserve">. Only roofing material that meets the definition of ACM can qualify as RACM subject to the NESHAP. Therefore, to determine if a removal operation that meets or exceeds the coverage threshold is subject to the NESHAP, any suspect roofing material </w:t>
      </w: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i.e</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roofing material that may be ACM) should be tested for asbestos. If any such roofing material contains more than one percent asbestos and if the removal operation is covered by the NESHAP, then EPA must be notified and the work practices in §61.145(c) must be followed. In EPA's view, if a removal operation involves at least the threshold level of suspect material, a roofing contractor may choose not to test for asbestos if the contractor follows the notification and work practice requirements of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A/C Shingle Removal (Category II ACM Removal)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1.B.1</w:t>
      </w:r>
      <w:proofErr w:type="gramEnd"/>
      <w:r w:rsidRPr="003A6D9C">
        <w:rPr>
          <w:rFonts w:ascii="Times New Roman" w:hAnsi="Times New Roman" w:cs="Times New Roman"/>
          <w:sz w:val="20"/>
          <w:szCs w:val="20"/>
        </w:rPr>
        <w:t>. A/C shingles, which are Category II nonfriable ACM, become regulated ACM if the material has a high probability of becoming or has become crumbled, pulverized or reduced to powder by the forces expected to act on the material in the course of demolition or renovation operations. 40 CFR 61.141. However, merely breaking an A/C shingle (or any other category II ACM) that is not friable may not necessarily cause the material to become RACM. A/C shingles are typically nailed to buildings on which they are attached. EPA believes that the extent of breakage that will normally result from carefully removing A/C shingles and lowering the shingles to the ground will not result in crumbling, pulverizing or reducing the shingles to powder. Conversely, the extent of breakage that will normally occur if the A/C shingles are dropped from a building or scraped off of a building with heavy machinery would cause the shingles to become RACM. EPA therefore construes the NESHAP to mean that the removal of A/C shingles that are not friable, using methods that do not crumble, pulverize, or reduce the A/C shingles to powder (such as pry bars, spud bars and shovels to carefully pry the material), is not subject to the NESHAP provided that the A/C shingles are properly handled during and after removal, as discussed in this paragraph and the asbestos NESHAP. This interpretation also applies to other Category II nonfriable asbestos-containing roofing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Cutting vs. Slicing and Manual Methods for Removal of Category I ACM</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1.C.1</w:t>
      </w:r>
      <w:proofErr w:type="gramEnd"/>
      <w:r w:rsidRPr="003A6D9C">
        <w:rPr>
          <w:rFonts w:ascii="Times New Roman" w:hAnsi="Times New Roman" w:cs="Times New Roman"/>
          <w:sz w:val="20"/>
          <w:szCs w:val="20"/>
        </w:rPr>
        <w:t>. Because of damage to the roofing material, and the potential for fiber release, roof removal operations using rotating blade (RB) roof cutters or other equipment that sand, grind, cut or abrade the roof material are subject to the NESHAP. As EPA interprets the NESHAP, the use of certain manual methods (using equipment such as axes, hatchets, or knives, spud bars, pry bars, and shovels, but not saws) or methods that slice, shear, or punch (using equipment such as a power slicer or power plow) does not constitute “cutting, sanding, grinding or abrading.” This is because these methods do not destroy the structural matrix or integrity of the material such that the material is crumbled, pulverized or reduced to powder. Hence, it is EPA's interpretation that when such methods are used, assuming the roof material is not friable, the removal operation is not subject to the regulation.</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1.C.2</w:t>
      </w:r>
      <w:proofErr w:type="gramEnd"/>
      <w:r w:rsidRPr="003A6D9C">
        <w:rPr>
          <w:rFonts w:ascii="Times New Roman" w:hAnsi="Times New Roman" w:cs="Times New Roman"/>
          <w:sz w:val="20"/>
          <w:szCs w:val="20"/>
        </w:rPr>
        <w:t>. Power removers or power tear-off machines are typically used to pry the roofing material up from the deck after the roof membrane has been cut. It is EPA's interpretation that when these machines are used to pry roofing material up, their use is not regulated by the NESHAP.</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1.C.3</w:t>
      </w:r>
      <w:proofErr w:type="gramEnd"/>
      <w:r w:rsidRPr="003A6D9C">
        <w:rPr>
          <w:rFonts w:ascii="Times New Roman" w:hAnsi="Times New Roman" w:cs="Times New Roman"/>
          <w:sz w:val="20"/>
          <w:szCs w:val="20"/>
        </w:rPr>
        <w:t>. As noted previously, the NESHAP only applies to the removal of asbestos-containing roofing materials. Thus, the NESHAP does not apply to the use of RB cutters to remove non-asbestos built up roofing (BUR). On roofs containing some asbestos-containing and some non-asbestos-containing materials, coverage under the NESHAP depends on the methods used to remove each type of material in addition to other coverage thresholds specified above. For example, it is not uncommon for existing roofs to be made of non-asbestos BUR and base flashings that do contain asbestos. In that situation, EPA construes the NESHAP to be inapplicable to the removal of the non-asbestos BUR using an RB cutter so long as the RB cutter is not used to cut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the asbestos-containing base flashing or other asbestos-containing material into sections. In addition, the </w:t>
      </w:r>
      <w:r w:rsidRPr="003A6D9C">
        <w:rPr>
          <w:rFonts w:ascii="Times New Roman" w:hAnsi="Times New Roman" w:cs="Times New Roman"/>
          <w:sz w:val="20"/>
          <w:szCs w:val="20"/>
        </w:rPr>
        <w:lastRenderedPageBreak/>
        <w:t>use of methods that slice, shear, punch or pry could then be used to remove the asbestos flashings and not trigger coverage under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II. Notification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2.1. Notification for a demolition is always required under the NESHAP. However, EPA believes that few roof removal jobs constitute “demolitions” as defined in the NESHAP (§61.141). In particular, it is EPA's view that the removal of roofing systems (i.e., the roof membrane, insulation, surfacing, coatings, flashings, mastic, shingles, and felt underlayment), when such removal is not a part of a demolition project, constitutes a “renovation” under the NESHAP. If the operation is a renovation, and Category I roofing material is being removed using either manual methods or slicing, notification is not required by the NESHAP. If Category II material is not friable and will be removed without crumbling, pulverizing, or reducing it to powder, no notification is required. Also, if the renovation involves less than the threshold area for applicability as discussed above, then no notification is required. However, if a roof removal meets the applicability and threshold requirements under the NESHAP, then EPA (or the delegated agency) must be notified in advance of the removal in accordance with the requirements of §61.145(b),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Notification must be given in writing at least 10 working days in advance and must include the information in §61.145(b)(4), except for emergency renovations as discussed below.</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The notice must be updated as necessary, including, for example, when the amount of asbestos-containing roofing material reported changes by 20 percent or more.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EPA must be notified if the start date of the roof removal changes. If the start date of a roof removal project is changed to an earlier date, EPA must be provided with a written notice of the new start date at least 10 working days in advance. If the start date changes to a later date, EPA must be notified by telephone as soon as possible before the original start date and a written notice must be sent as soon as possible.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For emergency renovations (as defined in §61.141), where work must begin immediately to avoid safety or public health hazards, equipment damage, or unreasonable financial burden, the notification must be postmarked or delivered to EPA as soon as possible, but no later than the following work day.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III. Emission Control Practices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A. Requirements </w:t>
      </w:r>
      <w:proofErr w:type="gramStart"/>
      <w:r w:rsidRPr="003A6D9C">
        <w:rPr>
          <w:rFonts w:ascii="Times New Roman" w:hAnsi="Times New Roman" w:cs="Times New Roman"/>
          <w:sz w:val="20"/>
          <w:szCs w:val="20"/>
        </w:rPr>
        <w:t>To</w:t>
      </w:r>
      <w:proofErr w:type="gramEnd"/>
      <w:r w:rsidRPr="003A6D9C">
        <w:rPr>
          <w:rFonts w:ascii="Times New Roman" w:hAnsi="Times New Roman" w:cs="Times New Roman"/>
          <w:sz w:val="20"/>
          <w:szCs w:val="20"/>
        </w:rPr>
        <w:t xml:space="preserve"> Adequately Wet and Discharge No Visible Emission</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3.A.1</w:t>
      </w:r>
      <w:proofErr w:type="gramEnd"/>
      <w:r w:rsidRPr="003A6D9C">
        <w:rPr>
          <w:rFonts w:ascii="Times New Roman" w:hAnsi="Times New Roman" w:cs="Times New Roman"/>
          <w:sz w:val="20"/>
          <w:szCs w:val="20"/>
        </w:rPr>
        <w:t>. The principal controls contained in the NESHAP for removal operations include requirements that the affected material be adequately wetted, and that asbestos waste be handled, collected, and disposed of properly. The requirements for disposal of waste materials are discussed separately in section IV below. The emission control requirements discussed in this section III apply only to roof removal operations that are covered by the NESHAP as set forth in Section I above.</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3.A.2</w:t>
      </w:r>
      <w:proofErr w:type="gramEnd"/>
      <w:r w:rsidRPr="003A6D9C">
        <w:rPr>
          <w:rFonts w:ascii="Times New Roman" w:hAnsi="Times New Roman" w:cs="Times New Roman"/>
          <w:sz w:val="20"/>
          <w:szCs w:val="20"/>
        </w:rPr>
        <w:t>. For any operation subject to the NESHAP, the regulation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2)(i), (3), (6)(i)) requires that RACM be adequately wet (as defined in §61.141) during the operation that damages or disturbs the asbestos material until collected for disposal.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3.A.3</w:t>
      </w:r>
      <w:proofErr w:type="gramEnd"/>
      <w:r w:rsidRPr="003A6D9C">
        <w:rPr>
          <w:rFonts w:ascii="Times New Roman" w:hAnsi="Times New Roman" w:cs="Times New Roman"/>
          <w:sz w:val="20"/>
          <w:szCs w:val="20"/>
        </w:rPr>
        <w:t>. When using an RB roof cutter (or any other method that sands, grinds, cuts or abrades the roofing material) to remove Category I asbestos-containing roofing material, the emission control requirements of §61.145(c) apply as discussed in Section I above. EPA will consider a roof removal project to be in compliance with the “adequately wet” and “discharge no visible emission” requirements of the NESHAP if the RB roof cutter is equipped and operated with the following: (1) a blade guard that completely encloses the blade and extends down close to the roof surface; and (2) a device for spraying a fine mist of water inside the blade guard, and which device is in operation during the cutting of the roof.</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B. Exemptions </w:t>
      </w:r>
      <w:proofErr w:type="gramStart"/>
      <w:r w:rsidRPr="003A6D9C">
        <w:rPr>
          <w:rFonts w:ascii="Times New Roman" w:hAnsi="Times New Roman" w:cs="Times New Roman"/>
          <w:sz w:val="20"/>
          <w:szCs w:val="20"/>
        </w:rPr>
        <w:t>From</w:t>
      </w:r>
      <w:proofErr w:type="gramEnd"/>
      <w:r w:rsidRPr="003A6D9C">
        <w:rPr>
          <w:rFonts w:ascii="Times New Roman" w:hAnsi="Times New Roman" w:cs="Times New Roman"/>
          <w:sz w:val="20"/>
          <w:szCs w:val="20"/>
        </w:rPr>
        <w:t xml:space="preserve"> Wetting Requirements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3.B.1</w:t>
      </w:r>
      <w:proofErr w:type="gramEnd"/>
      <w:r w:rsidRPr="003A6D9C">
        <w:rPr>
          <w:rFonts w:ascii="Times New Roman" w:hAnsi="Times New Roman" w:cs="Times New Roman"/>
          <w:sz w:val="20"/>
          <w:szCs w:val="20"/>
        </w:rPr>
        <w:t xml:space="preserve">. The NESHAP provides that, in certain instances, wetting may not be required during the cutting of Category I asbestos roofing material with an RB roof cutter. If EPA determines in accordance with §61.145(c)(3)(i), that wetting will unavoidably </w:t>
      </w:r>
      <w:r w:rsidRPr="003A6D9C">
        <w:rPr>
          <w:rFonts w:ascii="Times New Roman" w:hAnsi="Times New Roman" w:cs="Times New Roman"/>
          <w:sz w:val="20"/>
          <w:szCs w:val="20"/>
        </w:rPr>
        <w:lastRenderedPageBreak/>
        <w:t>damage the building, equipment inside the building, or will present a safety hazard while stripping the ACM from a facility component that remains in place, the roof removal operation will be exempted from the requirement to wet during cutting. EPA must have sufficient written information on which to base such a decision. Before proceeding with a dry removal, the contractor must have received EPA's written approval. Such exemptions will be made on a case-by-case basis.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3.B.2</w:t>
      </w:r>
      <w:proofErr w:type="gramEnd"/>
      <w:r w:rsidRPr="003A6D9C">
        <w:rPr>
          <w:rFonts w:ascii="Times New Roman" w:hAnsi="Times New Roman" w:cs="Times New Roman"/>
          <w:sz w:val="20"/>
          <w:szCs w:val="20"/>
        </w:rPr>
        <w:t>. It is EPA's view that, in most instances, exemptions from the wetting requirements are not necessary. Where EPA grants an exemption from wetting because of the potential for damage to the building, damage to equipment within the building or a safety hazard, the NESHAP specifies alternative control methods (§61.145(c)(3)(i)(B)). Alternative control methods include (a) the use of local exhaust ventilation systems that capture the dust, and do not produce visible emissions, or (b) methods that are designed and operated in accordance with the requirements of §61.152, or (c) other methods that have received the written approval of EPA. EPA will consider an alternative emission control method in compliance with the NESHAP if the method has received written approval from EPA and the method is being implemented consistent with the approved procedures (§61.145(c)(3)(ii) or §61.152(b)(3)).</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3.B.3</w:t>
      </w:r>
      <w:proofErr w:type="gramEnd"/>
      <w:r w:rsidRPr="003A6D9C">
        <w:rPr>
          <w:rFonts w:ascii="Times New Roman" w:hAnsi="Times New Roman" w:cs="Times New Roman"/>
          <w:sz w:val="20"/>
          <w:szCs w:val="20"/>
        </w:rPr>
        <w:t>. An exemption from wetting is also allowed when the air or roof surface temperature at the point of wetting is below freezing, as specified in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7). If freezing temperatures are indicated as the reason for not wetting, records must be kept of the temperature at the beginning, middle and end of the day on which wetting is not performed and the records of temperature must be retained for at least 2 years. 42 CFR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7)(iii). It is EPA's interpretation that in such cases, no written application to, or written approval by the Administrator is needed for using emission control methods listed in §61.145(c)(3)(i)(B), or alternative emission control methods that have been previously approved by the Administrator. However, such written application or approval is required for alternative emission control methods that have not been previously approved. Any dust and debris collected from cutting must still be kept wet and placed in containers. All of the other requirements for notification and waste disposal would continue to apply as described elsewhere in this notice and the Asbestos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Waste Collection and Handling</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3.C.1</w:t>
      </w:r>
      <w:proofErr w:type="gramEnd"/>
      <w:r w:rsidRPr="003A6D9C">
        <w:rPr>
          <w:rFonts w:ascii="Times New Roman" w:hAnsi="Times New Roman" w:cs="Times New Roman"/>
          <w:sz w:val="20"/>
          <w:szCs w:val="20"/>
        </w:rPr>
        <w:t>. It is EPA's interpretation that waste resulting from slicing and other methods that do not cut, grind, sand or abrade Category I nonfriable asbestos-containing roofing material is not subject to the NESHAP and can be disposed of as nonasbestos waste. EPA further construes the NESHAP to provide that if Category II roofing material (such as A/C shingles) is removed and disposed of without crumbling, pulverizing, or reducing it to powder, the waste from the removal is not subject to the NESHAP waste disposal requirements. EPA also interprets the NESHAP to be inapplicable to waste resulting from roof removal operations that do not meet or exceed the coverage thresholds described in section I above. Of course, other State, local, or Federal regulations may apply.</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3.C.2</w:t>
      </w:r>
      <w:proofErr w:type="gramEnd"/>
      <w:r w:rsidRPr="003A6D9C">
        <w:rPr>
          <w:rFonts w:ascii="Times New Roman" w:hAnsi="Times New Roman" w:cs="Times New Roman"/>
          <w:sz w:val="20"/>
          <w:szCs w:val="20"/>
        </w:rPr>
        <w:t xml:space="preserve">. It is EPA's interpretation that when an RB roof cutter, or other method that similarly damages the roofing material, is used to cut Category I asbestos containing roofing material, the damaged material from the cut (the sawdust or debris) is considered asbestos containing waste subject to §61.150 of the NESHAP, provided the coverage thresholds discussed above in section 1 are met or exceeded. This sawdust or debris must be disposed of at a disposal site operated in accordance with the NESHAP. It is also EPA's interpretation of the NESHAP that if the remainder of the roof is free of the sawdust and debris generated by the cutting, or if such sawdust or debris is collected as discussed below in paragraphs 3.C.3, 3.C.4, 3.C.5 and 3.C.6, the remainder of the roof can be disposed of as nonasbestos waste because it is considered to be Category I nonfriable material (as long as the remainder of the roof is in fact nonasbestos material or if it is Category I asbestos material and the removal methods do not further sand, grind, cut or abrade the roof material). EPA further believes that if the roof is not cleaned of such sawdust or debris, </w:t>
      </w:r>
      <w:r w:rsidRPr="003A6D9C">
        <w:rPr>
          <w:rFonts w:ascii="Times New Roman" w:hAnsi="Times New Roman" w:cs="Times New Roman"/>
          <w:i/>
          <w:iCs/>
          <w:sz w:val="20"/>
          <w:szCs w:val="20"/>
        </w:rPr>
        <w:t xml:space="preserve">i.e., </w:t>
      </w:r>
      <w:r w:rsidRPr="003A6D9C">
        <w:rPr>
          <w:rFonts w:ascii="Times New Roman" w:hAnsi="Times New Roman" w:cs="Times New Roman"/>
          <w:sz w:val="20"/>
          <w:szCs w:val="20"/>
        </w:rPr>
        <w:t>it is contaminated, then it must be treated as asbestos-containing waste material and be handled in accordance with §61.150.</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3.C.3</w:t>
      </w:r>
      <w:proofErr w:type="gramEnd"/>
      <w:r w:rsidRPr="003A6D9C">
        <w:rPr>
          <w:rFonts w:ascii="Times New Roman" w:hAnsi="Times New Roman" w:cs="Times New Roman"/>
          <w:sz w:val="20"/>
          <w:szCs w:val="20"/>
        </w:rPr>
        <w:t xml:space="preserve">. In order to be in compliance with the NESHAP while using an RB roof cutter (or device that similarly damages the roofing material) to cut Category I asbestos containing roofing material, the dust and debris resulting from the cutting of the roof should be collected as soon as possible after the cutting operation, and kept wet until collected and placed in leak-tight containers. EPA believes that where the blade guard completely encloses the blade and extends down close to the roof surface and is equipped with a device for spraying a fine mist of water inside the blade guard, and the spraying device is in operation during the cutting, most of the dust and debris from cutting will be confined along the cut. The most efficient methods to collect the dust and debris from cutting are to immediately collect or vacuum up the damaged material where it lies along the cut using a filtered vacuum cleaner or debris collector that meets the requirements of 40 CFR 61.152 to clean up as much of the debris as possible, or to gently sweep up the bulk of the debris, and then use a filtered vacuum cleaner that meets the requirements of 40 CFR 61.152 to </w:t>
      </w:r>
      <w:r w:rsidRPr="003A6D9C">
        <w:rPr>
          <w:rFonts w:ascii="Times New Roman" w:hAnsi="Times New Roman" w:cs="Times New Roman"/>
          <w:sz w:val="20"/>
          <w:szCs w:val="20"/>
        </w:rPr>
        <w:lastRenderedPageBreak/>
        <w:t>clean up as much of the remainder of the debris as possible. On smooth surfaced roofs (non</w:t>
      </w:r>
      <w:r w:rsidR="00E15331">
        <w:rPr>
          <w:rFonts w:ascii="Times New Roman" w:hAnsi="Times New Roman" w:cs="Times New Roman"/>
          <w:sz w:val="20"/>
          <w:szCs w:val="20"/>
        </w:rPr>
        <w:t>-</w:t>
      </w:r>
      <w:r w:rsidRPr="003A6D9C">
        <w:rPr>
          <w:rFonts w:ascii="Times New Roman" w:hAnsi="Times New Roman" w:cs="Times New Roman"/>
          <w:sz w:val="20"/>
          <w:szCs w:val="20"/>
        </w:rPr>
        <w:t>aggregate roofs), sweeping up the debris and then wet wiping the surface may be done in place of using a filtered vacuum cleaner. It is EPA's view that if these decontamination procedures are followed, the remaining roofing material does not have to be collected and disposed of as asbestos waste. Additionally, it is EPA's view that where such decontamination procedures are followed, if the remaining portions of the roof are non-asbestos or Category I nonfriable asbestos material, and if the remaining portions are removed using removal methods that slice, shear, punch or pry, as discussed in section 1.C above, then the remaining portions do not have to be collected and disposed of as asbestos waste and the NESHAP's no visible emissions and adequately wet requirements are not applicable to the removal of the remaining portions. In EPA's interpretation, the failure of a filtered vacuum cleaner or debris collector to collect larger chunks or pieces of damaged roofing material created by the RB roof cutter does not require the remaining roofing material to be handled and disposed of as asbestos waste, provided that such visible chunks or pieces of roofing material are collected (e.g. by gentle sweeping) and disposed of as asbestos waste. Other methods of decontamination may not be adequate, and should be approved by the local delegated agency.</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3.C.4</w:t>
      </w:r>
      <w:proofErr w:type="gramEnd"/>
      <w:r w:rsidRPr="003A6D9C">
        <w:rPr>
          <w:rFonts w:ascii="Times New Roman" w:hAnsi="Times New Roman" w:cs="Times New Roman"/>
          <w:sz w:val="20"/>
          <w:szCs w:val="20"/>
        </w:rPr>
        <w:t>. In EPA's interpretation, if the debris from the cutting is not collected immediately, it will be necessary to lightly mist the dust or debris, until it is collected, as discussed above, and placed in containers. The dust or debris should be lightly misted frequently enough to prevent the material from drying, and to prevent airborne emissions, prior to collection as described above. It is EPA's interpretation of the NESHAP that if these procedures are followed, the remaining roofing material does not have to be collected and disposed of as asbestos waste, as long as the remaining roof material is in fact nonasbestos material or if it is Category I asbestos material and the removal methods do not further sand, grind, cut or abrade the roof material.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3.C.5</w:t>
      </w:r>
      <w:proofErr w:type="gramEnd"/>
      <w:r w:rsidRPr="003A6D9C">
        <w:rPr>
          <w:rFonts w:ascii="Times New Roman" w:hAnsi="Times New Roman" w:cs="Times New Roman"/>
          <w:sz w:val="20"/>
          <w:szCs w:val="20"/>
        </w:rPr>
        <w:t>. It is EPA's interpretation that, provided the roofing material is not friable prior to the cutting operation, and provided the roofing material has not been made friable by the cutting operation, the appearance of rough, jagged or damaged edges on the remaining roofing material, due to the use of an RB roof cutter, does not require that such remaining roofing material be handled and disposed of as asbestos waste. In addition, it is also EPA's interpretation that if the sawdust or debris generated by the use of an RB roof cutter has been collected as discussed in paragraphs 3.C.3, 3.C.4 and 3.C.6, the presence of dust along the edge of the remaining roof material does not render such material “friable” for purposes of this interpretive rule or the NESHAP, provided the roofing material is not friable prior to the cutting operation, and provided that the remaining roofing material near the cutline has not been made friable by the cutting operation. Where roofing material near the cutline has been made friable by the use of the RB cutter (</w:t>
      </w:r>
      <w:r w:rsidRPr="003A6D9C">
        <w:rPr>
          <w:rFonts w:ascii="Times New Roman" w:hAnsi="Times New Roman" w:cs="Times New Roman"/>
          <w:i/>
          <w:iCs/>
          <w:sz w:val="20"/>
          <w:szCs w:val="20"/>
        </w:rPr>
        <w:t xml:space="preserve">i.e. </w:t>
      </w:r>
      <w:r w:rsidRPr="003A6D9C">
        <w:rPr>
          <w:rFonts w:ascii="Times New Roman" w:hAnsi="Times New Roman" w:cs="Times New Roman"/>
          <w:sz w:val="20"/>
          <w:szCs w:val="20"/>
        </w:rPr>
        <w:t>where such remaining roofing material near the cutline can be crumbled, pulverized or reduced to powder using hand pressure), it is EPA's interpretation that the use of an encapsulant will ensure that such friable material need not be treated or disposed of as asbestos containing waste material. The encapsulant may be applied to the friable material after the roofing material has been collected into stacks for subsequent disposal as nonasbestos waste. It is EPA's view that if the encapsulation procedure set forth in this paragraph is followed in operations where roofing material near the cutline has been rendered friable by the use of an RB roof cutter, and if the decontamination procedures set forth in paragraph 3.C.3 have been followed, the NESHAP's no visible emissions and adequately wet requirements would be met for the removal, handling and disposal of the remaining roofing material.</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3.C.6</w:t>
      </w:r>
      <w:proofErr w:type="gramEnd"/>
      <w:r w:rsidRPr="003A6D9C">
        <w:rPr>
          <w:rFonts w:ascii="Times New Roman" w:hAnsi="Times New Roman" w:cs="Times New Roman"/>
          <w:sz w:val="20"/>
          <w:szCs w:val="20"/>
        </w:rPr>
        <w:t>. As one way to comply with the NESHAP, the dust and debris from cutting can be placed in leak-tight containers, such as plastic bags, and the containers labeled using warning labels required by OSHA (29 CFR 1926.58). In addition, the containers must have labels that identify the waste generator (such as the name of the roofing contractor, abatement contractor, and/or building owner or operator) and the location of the site at which the waste was generated.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IV. Waste Disposal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Disposal Requirements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4.A.1</w:t>
      </w:r>
      <w:proofErr w:type="gramEnd"/>
      <w:r w:rsidRPr="003A6D9C">
        <w:rPr>
          <w:rFonts w:ascii="Times New Roman" w:hAnsi="Times New Roman" w:cs="Times New Roman"/>
          <w:sz w:val="20"/>
          <w:szCs w:val="20"/>
        </w:rPr>
        <w:t>. Section 61.150(b) requires that, as soon as is practical, all collected dust and debris from cutting as well as any contaminated roofing squares, must be taken to a landfill that is operated in accordance with §61.154 or to an EPA-approved site that converts asbestos waste to nonasbestos material in accordance with §61.155. During the loading and unloading of affected waste, asbestos warning signs must be affixed to the vehicles.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Waste Shipment Record</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4.B.1</w:t>
      </w:r>
      <w:proofErr w:type="gramEnd"/>
      <w:r w:rsidRPr="003A6D9C">
        <w:rPr>
          <w:rFonts w:ascii="Times New Roman" w:hAnsi="Times New Roman" w:cs="Times New Roman"/>
          <w:sz w:val="20"/>
          <w:szCs w:val="20"/>
        </w:rPr>
        <w:t>. For each load of asbestos waste that is regulated under the NESHAP, a waste shipment record (WSR) must be maintained in accordance with §61.150(d). Information that must be maintained for each waste load includes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address, and telephone number of the waste generator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address of the local, State, or EPA regional office responsible for administering the asbestos NESHAP program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Quantity of waste in cubic meters (or cubic yards)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telephone number of the disposal site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physical site location of the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Date transported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address, and telephone number of the transporter(s)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Certification that the contents meet all government regulations for transport by highways.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4.B.2</w:t>
      </w:r>
      <w:proofErr w:type="gramEnd"/>
      <w:r w:rsidRPr="003A6D9C">
        <w:rPr>
          <w:rFonts w:ascii="Times New Roman" w:hAnsi="Times New Roman" w:cs="Times New Roman"/>
          <w:sz w:val="20"/>
          <w:szCs w:val="20"/>
        </w:rPr>
        <w:t>. The waste generator is responsible for ensuring that a copy of the WSR is delivered to the disposal site along with the waste shipment. If a copy of the WSR signed by the disposal site operator is not returned to the waste generator within 35 days, the waste generator must contact the transporter and/or the disposal site to determine the status of the waste shipment.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If the signed WSR is not received within 45 days, the waste generator must report, in writing, to the responsible NESHAP program agency and send along a copy of the WSR.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 Copies of WSRs, including those signed by the disposal site operator, must be retained for at least 2 years.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5).</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V. Training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5.1. For those roof removals that are subject to the NESHAP, at least one on-site supervisor trained in the provisions of the NESHAP must be present during the removal of the asbestos roofing material. 40 CFR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8). In EPA's view, this person can be a job foreman, a hired consultant, or someone who can represent the building owner or contractor responsible for the removal. In addition to the initial training requirement, a refresher training course is required every 2 years. The NESHAP training requirements became effective on November 20, 1991.</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5.2. Asbestos training courses developed specifically to address compliance with the NESHAP in roofing work, as well as courses developed for other purposes can satisfy this requirement of the NESHAP, as long as the course covers the areas specified in the regulation. EPA believes that Asbestos Hazard Emergency Response Act (AHERA) training courses will, for example, satisfy the NESHAP training requirements. However, nothing in this interpretive rule or in the NESHAP shall be deemed to require that roofing contractors or roofing workers performing operations covered by the NESHAP must be trained or accredited under AHERA, as amended by the Asbestos School Hazard Abatement Reauthorization Act (ASHARA). Likewise, state or local authorities may independently impose additional training, licensing, or accreditation requirements on roofing contractors performing operations covered by the NESHAP, but such additional training, licensing or accreditation is not called for by this interpretive rule or the federal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5.3. For removal of Category I asbestos containing roofing material where RB roof cutters or equipment that similarly damages the asbestos-containing roofing material are used, the NESHAP training requirements (§61.145(c)(8)) apply as discussed in Section I above. It is EPA's intention that removal of Category I asbestos-containing roofing material using hatchets, axes, knives, and/or the use of spud bars, pry bars and shovels to lift the roofing material, or similar removal methods that slice, punch, or shear the roof membrane are not subject to the training requirements, since these methods do not cause the roof removal to be subject to the NESHAP. Likewise, it is EPA's intention that roof removal operations involving Category II nonfriable ACM are not subject to the training requirements where such operations are not subject to the NESHAP as discussed in section I above.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[59 FR 31158, June 17, 1994, as amended at 60 FR 31920, June 19, 1995]</w:t>
      </w:r>
    </w:p>
    <w:p w:rsidR="00EB7550" w:rsidRDefault="00EB7550" w:rsidP="00EB7550">
      <w:pPr>
        <w:sectPr w:rsidR="00EB7550" w:rsidSect="0031683A">
          <w:headerReference w:type="even" r:id="rId58"/>
          <w:headerReference w:type="default" r:id="rId59"/>
          <w:footerReference w:type="default" r:id="rId60"/>
          <w:headerReference w:type="first" r:id="rId61"/>
          <w:pgSz w:w="12240" w:h="15840" w:code="1"/>
          <w:pgMar w:top="1008" w:right="1008" w:bottom="1008" w:left="1008" w:header="720" w:footer="576" w:gutter="0"/>
          <w:paperSrc w:first="7" w:other="7"/>
          <w:pgNumType w:start="1"/>
          <w:cols w:space="720"/>
          <w:docGrid w:linePitch="299"/>
        </w:sectPr>
      </w:pP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lastRenderedPageBreak/>
        <w:t>Source:</w:t>
      </w:r>
      <w:r w:rsidRPr="006D4EE5">
        <w:rPr>
          <w:rFonts w:ascii="Times New Roman" w:hAnsi="Times New Roman" w:cs="Times New Roman"/>
          <w:strike/>
          <w:sz w:val="20"/>
          <w:szCs w:val="20"/>
          <w:highlight w:val="yellow"/>
        </w:rPr>
        <w:t xml:space="preserve">   59 FR 12430, Mar. 16, 1994, unless otherwise noted. </w:t>
      </w:r>
    </w:p>
    <w:p w:rsidR="00EB7550" w:rsidRPr="006D4EE5" w:rsidRDefault="00EB7550" w:rsidP="00EB7550">
      <w:pPr>
        <w:pStyle w:val="Heading5"/>
        <w:rPr>
          <w:strike/>
          <w:sz w:val="20"/>
          <w:szCs w:val="20"/>
          <w:highlight w:val="yellow"/>
        </w:rPr>
      </w:pPr>
      <w:r w:rsidRPr="006D4EE5">
        <w:rPr>
          <w:strike/>
          <w:sz w:val="20"/>
          <w:szCs w:val="20"/>
          <w:highlight w:val="yellow"/>
        </w:rPr>
        <w:t>§ 63.1   Applicability.</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a</w:t>
      </w:r>
      <w:proofErr w:type="gramEnd"/>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General. </w:t>
      </w:r>
      <w:r w:rsidRPr="006D4EE5">
        <w:rPr>
          <w:rFonts w:ascii="Times New Roman" w:hAnsi="Times New Roman" w:cs="Times New Roman"/>
          <w:strike/>
          <w:sz w:val="20"/>
          <w:szCs w:val="20"/>
          <w:highlight w:val="yellow"/>
        </w:rPr>
        <w:t>(1) Terms used throughout this part are defined in §63.2 or in the Clean Air Act (Act) as amended in 1990, except that individual subparts of this part may include specific definitions in addition to or that supersede definitions in §63.2.</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(4)(i) Each relevant standard in this part 63 must identify explicitly whether each provision in this subpart A is or is not included in such relevant standard.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General Provisions in this subpart A do not apply to regulations developed pursuant to section 112(r) of the amended Act, unless otherwise specified in those regulations.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[Reserved]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9) [Reserved]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(10) For the purposes of this part, time periods specified in days shall be measured in calendar days, even if the word “calendar” is absent, unless otherwise specified in an applicable requirement.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Initial applicability determination for this part. </w:t>
      </w:r>
      <w:r w:rsidRPr="006D4EE5">
        <w:rPr>
          <w:rFonts w:ascii="Times New Roman" w:hAnsi="Times New Roman" w:cs="Times New Roman"/>
          <w:strike/>
          <w:sz w:val="20"/>
          <w:szCs w:val="20"/>
          <w:highlight w:val="yellow"/>
        </w:rPr>
        <w:t>(1) The provisions of this part apply to the owner or operator of any stationary source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Emits or has the potential to emit any hazardous air pollutant listed in or pursuant to section 112(b) of the Act;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ii</w:t>
      </w:r>
      <w:proofErr w:type="gramEnd"/>
      <w:r w:rsidRPr="006D4EE5">
        <w:rPr>
          <w:rFonts w:ascii="Times New Roman" w:hAnsi="Times New Roman" w:cs="Times New Roman"/>
          <w:strike/>
          <w:sz w:val="20"/>
          <w:szCs w:val="20"/>
          <w:highlight w:val="yellow"/>
        </w:rPr>
        <w:t>) Is subject to any standard, limitation, prohibition, or other federally enforceable requirement established pursuant to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An owner or operator of a stationary source who is in the relevant source category and who determines that the source is not subject to a relevant standard or other requirement established under this part must keep a record as specified in §63.10(b)(3).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Applicability of this part after a relevant standard has been set under this part. </w:t>
      </w:r>
      <w:r w:rsidRPr="006D4EE5">
        <w:rPr>
          <w:rFonts w:ascii="Times New Roman" w:hAnsi="Times New Roman" w:cs="Times New Roman"/>
          <w:strike/>
          <w:sz w:val="20"/>
          <w:szCs w:val="20"/>
          <w:highlight w:val="yellow"/>
        </w:rPr>
        <w:t>(1) If a relevant standard has been established under this part, the owner or operator of an affected source must comply with the provisions of that standard and of this subpart as provided in paragraph (a)(4)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the Act will specify whether—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States will have the option to exclude area sources affected by that standard from the requirement to obtain a title V permit (i.e., the standard will exempt the category of area sources altogether from the permitting requirement);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States will have the option to defer permitting of area sources in that category until the Administrator takes rulemaking action to determine applicability of the permitting requirements;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[59 FR 12430, Mar. 16, 1994, as amended at 67 FR 16595, Apr. 5, 2002]</w:t>
      </w:r>
    </w:p>
    <w:p w:rsidR="00EB7550" w:rsidRPr="006D4EE5" w:rsidRDefault="00EB7550" w:rsidP="00EB7550">
      <w:pPr>
        <w:pStyle w:val="Heading5"/>
        <w:jc w:val="both"/>
        <w:rPr>
          <w:strike/>
          <w:sz w:val="20"/>
          <w:szCs w:val="20"/>
          <w:highlight w:val="yellow"/>
        </w:rPr>
      </w:pPr>
      <w:r w:rsidRPr="006D4EE5">
        <w:rPr>
          <w:strike/>
          <w:sz w:val="20"/>
          <w:szCs w:val="20"/>
          <w:highlight w:val="yellow"/>
        </w:rPr>
        <w:t>§ 63.2   Definitions.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The terms used in this part are defined in the Act or in this section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Act </w:t>
      </w:r>
      <w:r w:rsidRPr="006D4EE5">
        <w:rPr>
          <w:rFonts w:ascii="Times New Roman" w:hAnsi="Times New Roman" w:cs="Times New Roman"/>
          <w:strike/>
          <w:sz w:val="20"/>
          <w:szCs w:val="20"/>
          <w:highlight w:val="yellow"/>
        </w:rPr>
        <w:t>means the Clean Air Act (42 U.S.C. 7401 et seq., as amended by Pub. L. 101–549, 104 Stat. 2399).</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Actual emissions </w:t>
      </w:r>
      <w:r w:rsidRPr="006D4EE5">
        <w:rPr>
          <w:rFonts w:ascii="Times New Roman" w:hAnsi="Times New Roman" w:cs="Times New Roman"/>
          <w:strike/>
          <w:sz w:val="20"/>
          <w:szCs w:val="20"/>
          <w:highlight w:val="yellow"/>
        </w:rPr>
        <w:t>is defined in subpart D of this part for the purpose of granting a compliance extension for an early reduction of hazardous air pollutants.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Administrator </w:t>
      </w:r>
      <w:r w:rsidRPr="006D4EE5">
        <w:rPr>
          <w:rFonts w:ascii="Times New Roman" w:hAnsi="Times New Roman" w:cs="Times New Roman"/>
          <w:strike/>
          <w:sz w:val="20"/>
          <w:szCs w:val="20"/>
          <w:highlight w:val="yellow"/>
        </w:rPr>
        <w:t>means the Administrator of the United States Environmental Protection Agency or his or her authorized representative (e.g., a State that has been delegated the authority to implement the provisions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Affected source, </w:t>
      </w:r>
      <w:r w:rsidRPr="006D4EE5">
        <w:rPr>
          <w:rFonts w:ascii="Times New Roman" w:hAnsi="Times New Roman" w:cs="Times New Roman"/>
          <w:strike/>
          <w:sz w:val="20"/>
          <w:szCs w:val="20"/>
          <w:highlight w:val="yellow"/>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Alternative emission limitation </w:t>
      </w:r>
      <w:r w:rsidRPr="006D4EE5">
        <w:rPr>
          <w:rFonts w:ascii="Times New Roman" w:hAnsi="Times New Roman" w:cs="Times New Roman"/>
          <w:strike/>
          <w:sz w:val="20"/>
          <w:szCs w:val="20"/>
          <w:highlight w:val="yellow"/>
        </w:rPr>
        <w:t>means conditions established pursuant to sections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or 112(i)(6) of the Act by the Administrator or by a State with an approved permit program.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Alternative emission standard </w:t>
      </w:r>
      <w:r w:rsidRPr="006D4EE5">
        <w:rPr>
          <w:rFonts w:ascii="Times New Roman" w:hAnsi="Times New Roman" w:cs="Times New Roman"/>
          <w:strike/>
          <w:sz w:val="20"/>
          <w:szCs w:val="20"/>
          <w:highlight w:val="yellow"/>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Alternative test method </w:t>
      </w:r>
      <w:r w:rsidRPr="006D4EE5">
        <w:rPr>
          <w:rFonts w:ascii="Times New Roman" w:hAnsi="Times New Roman" w:cs="Times New Roman"/>
          <w:strike/>
          <w:sz w:val="20"/>
          <w:szCs w:val="20"/>
          <w:highlight w:val="yellow"/>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Approved permit program </w:t>
      </w:r>
      <w:r w:rsidRPr="006D4EE5">
        <w:rPr>
          <w:rFonts w:ascii="Times New Roman" w:hAnsi="Times New Roman" w:cs="Times New Roman"/>
          <w:strike/>
          <w:sz w:val="20"/>
          <w:szCs w:val="20"/>
          <w:highlight w:val="yellow"/>
        </w:rPr>
        <w:t>means a State permit program approved by the Administrator as meeting the requirements of part 70 of this chapter or a Federal permit program established in this chapter pursuant to title V of the Act (42 U.S.C. 7661).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Area source </w:t>
      </w:r>
      <w:r w:rsidRPr="006D4EE5">
        <w:rPr>
          <w:rFonts w:ascii="Times New Roman" w:hAnsi="Times New Roman" w:cs="Times New Roman"/>
          <w:strike/>
          <w:sz w:val="20"/>
          <w:szCs w:val="20"/>
          <w:highlight w:val="yellow"/>
        </w:rPr>
        <w:t>means any stationary source of hazardous air pollutants that is not a major source as defined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Commenced </w:t>
      </w:r>
      <w:r w:rsidRPr="006D4EE5">
        <w:rPr>
          <w:rFonts w:ascii="Times New Roman" w:hAnsi="Times New Roman" w:cs="Times New Roman"/>
          <w:strike/>
          <w:sz w:val="20"/>
          <w:szCs w:val="20"/>
          <w:highlight w:val="yellow"/>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Compliance date </w:t>
      </w:r>
      <w:r w:rsidRPr="006D4EE5">
        <w:rPr>
          <w:rFonts w:ascii="Times New Roman" w:hAnsi="Times New Roman" w:cs="Times New Roman"/>
          <w:strike/>
          <w:sz w:val="20"/>
          <w:szCs w:val="20"/>
          <w:highlight w:val="yellow"/>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Compliance schedule </w:t>
      </w:r>
      <w:r w:rsidRPr="006D4EE5">
        <w:rPr>
          <w:rFonts w:ascii="Times New Roman" w:hAnsi="Times New Roman" w:cs="Times New Roman"/>
          <w:strike/>
          <w:sz w:val="20"/>
          <w:szCs w:val="20"/>
          <w:highlight w:val="yellow"/>
        </w:rPr>
        <w:t>means: (1) In the case of an affected source that is in compliance with all applicable requirements established under this part, a statement that the source will continue to comply with such requirements;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Construction </w:t>
      </w:r>
      <w:r w:rsidRPr="006D4EE5">
        <w:rPr>
          <w:rFonts w:ascii="Times New Roman" w:hAnsi="Times New Roman" w:cs="Times New Roman"/>
          <w:strike/>
          <w:sz w:val="20"/>
          <w:szCs w:val="20"/>
          <w:highlight w:val="yellow"/>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Continuous emission monitoring system </w:t>
      </w:r>
      <w:r w:rsidRPr="006D4EE5">
        <w:rPr>
          <w:rFonts w:ascii="Times New Roman" w:hAnsi="Times New Roman" w:cs="Times New Roman"/>
          <w:strike/>
          <w:sz w:val="20"/>
          <w:szCs w:val="20"/>
          <w:highlight w:val="yellow"/>
        </w:rPr>
        <w:t>(CEMS) means the total equipment that may be required to meet the data acquisition and availability requirements of this part, used to sample, condition (if applicable), analyze, and provide a record of emissions.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Continuous monitoring system </w:t>
      </w:r>
      <w:r w:rsidRPr="006D4EE5">
        <w:rPr>
          <w:rFonts w:ascii="Times New Roman" w:hAnsi="Times New Roman" w:cs="Times New Roman"/>
          <w:strike/>
          <w:sz w:val="20"/>
          <w:szCs w:val="20"/>
          <w:highlight w:val="yellow"/>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Continuous opacity monitoring system </w:t>
      </w:r>
      <w:r w:rsidRPr="006D4EE5">
        <w:rPr>
          <w:rFonts w:ascii="Times New Roman" w:hAnsi="Times New Roman" w:cs="Times New Roman"/>
          <w:strike/>
          <w:sz w:val="20"/>
          <w:szCs w:val="20"/>
          <w:highlight w:val="yellow"/>
        </w:rPr>
        <w:t>(COMS) means a continuous monitoring system that measures the opacity of emissions.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Continuous parameter monitoring system </w:t>
      </w:r>
      <w:r w:rsidRPr="006D4EE5">
        <w:rPr>
          <w:rFonts w:ascii="Times New Roman" w:hAnsi="Times New Roman" w:cs="Times New Roman"/>
          <w:strike/>
          <w:sz w:val="20"/>
          <w:szCs w:val="20"/>
          <w:highlight w:val="yellow"/>
        </w:rPr>
        <w:t>means the total equipment that may be required to meet the data acquisition and availability requirements of this part, used to sample, condition (if applicable), analyze, and provide a record of process or control system parameters.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Effective date </w:t>
      </w:r>
      <w:r w:rsidRPr="006D4EE5">
        <w:rPr>
          <w:rFonts w:ascii="Times New Roman" w:hAnsi="Times New Roman" w:cs="Times New Roman"/>
          <w:strike/>
          <w:sz w:val="20"/>
          <w:szCs w:val="20"/>
          <w:highlight w:val="yellow"/>
        </w:rPr>
        <w:t>means: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With regard to an emission standard established under this part, the date of promulgation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Registerof</w:t>
      </w:r>
      <w:proofErr w:type="spellEnd"/>
      <w:r w:rsidRPr="006D4EE5">
        <w:rPr>
          <w:rFonts w:ascii="Times New Roman" w:hAnsi="Times New Roman" w:cs="Times New Roman"/>
          <w:strike/>
          <w:sz w:val="20"/>
          <w:szCs w:val="20"/>
          <w:highlight w:val="yellow"/>
        </w:rPr>
        <w:t xml:space="preserve"> such standard;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Emission standard </w:t>
      </w:r>
      <w:r w:rsidRPr="006D4EE5">
        <w:rPr>
          <w:rFonts w:ascii="Times New Roman" w:hAnsi="Times New Roman" w:cs="Times New Roman"/>
          <w:strike/>
          <w:sz w:val="20"/>
          <w:szCs w:val="20"/>
          <w:highlight w:val="yellow"/>
        </w:rPr>
        <w:t>means a national standard, limitation, prohibition, or other regulation promulgated in a subpart of this part pursuant to sections 112(d), 112(h), or 112(f)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Emissions averaging </w:t>
      </w:r>
      <w:r w:rsidRPr="006D4EE5">
        <w:rPr>
          <w:rFonts w:ascii="Times New Roman" w:hAnsi="Times New Roman" w:cs="Times New Roman"/>
          <w:strike/>
          <w:sz w:val="20"/>
          <w:szCs w:val="20"/>
          <w:highlight w:val="yellow"/>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EPA </w:t>
      </w:r>
      <w:r w:rsidRPr="006D4EE5">
        <w:rPr>
          <w:rFonts w:ascii="Times New Roman" w:hAnsi="Times New Roman" w:cs="Times New Roman"/>
          <w:strike/>
          <w:sz w:val="20"/>
          <w:szCs w:val="20"/>
          <w:highlight w:val="yellow"/>
        </w:rPr>
        <w:t>means the United States Environmental Protection Agency.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Equivalent emission limitation </w:t>
      </w:r>
      <w:r w:rsidRPr="006D4EE5">
        <w:rPr>
          <w:rFonts w:ascii="Times New Roman" w:hAnsi="Times New Roman" w:cs="Times New Roman"/>
          <w:strike/>
          <w:sz w:val="20"/>
          <w:szCs w:val="20"/>
          <w:highlight w:val="yellow"/>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Excess emissions and continuous monitoring system performance report </w:t>
      </w:r>
      <w:r w:rsidRPr="006D4EE5">
        <w:rPr>
          <w:rFonts w:ascii="Times New Roman" w:hAnsi="Times New Roman" w:cs="Times New Roman"/>
          <w:strike/>
          <w:sz w:val="20"/>
          <w:szCs w:val="20"/>
          <w:highlight w:val="yellow"/>
        </w:rPr>
        <w:t>is a report that must be submitted periodically by an affected source in order to provide data on its compliance with relevant emission limits, operating parameters, and the performance of its continuous parameter monitoring systems.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Existing source </w:t>
      </w:r>
      <w:r w:rsidRPr="006D4EE5">
        <w:rPr>
          <w:rFonts w:ascii="Times New Roman" w:hAnsi="Times New Roman" w:cs="Times New Roman"/>
          <w:strike/>
          <w:sz w:val="20"/>
          <w:szCs w:val="20"/>
          <w:highlight w:val="yellow"/>
        </w:rPr>
        <w:t>means any affected source that is not a new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Federally enforceable </w:t>
      </w:r>
      <w:r w:rsidRPr="006D4EE5">
        <w:rPr>
          <w:rFonts w:ascii="Times New Roman" w:hAnsi="Times New Roman" w:cs="Times New Roman"/>
          <w:strike/>
          <w:sz w:val="20"/>
          <w:szCs w:val="20"/>
          <w:highlight w:val="yellow"/>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Emission standards, alternative emission standards, alternative emission limitations, and equivalent emission limitations established pursuant to section 112 of the Act as amended in 1990;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New source performance standards established pursuant to section 111 of the Act, and emission standards established pursuant to section 112 of the Act before it was amended in 1990;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All terms and conditions in a title V permit, including any provisions that limit a source's potential to emit, unless expressly designated as not federally enforceable;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Limitations and conditions that are part of an approved State Implementation Plan (SIP) or a Federal Implementation Plan (FIP);</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Limitations and conditions that are part of a Federal construction permit issued under 40 CFR 52.21 or any construction permit issued under regulations approved by the EPA in accordance with 40 CFR part 51;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Limitations and conditions that are part of an operating permit where the permit and the permitting program pursuant to which it was issued meet all of the following criteria: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operating permit program has been submitted to and approved by EPA into a State implementation plan (SIP) under section 110 of the CAA;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The</w:t>
      </w:r>
      <w:proofErr w:type="gramEnd"/>
      <w:r w:rsidRPr="006D4EE5">
        <w:rPr>
          <w:rFonts w:ascii="Times New Roman" w:hAnsi="Times New Roman" w:cs="Times New Roman"/>
          <w:strike/>
          <w:sz w:val="20"/>
          <w:szCs w:val="20"/>
          <w:highlight w:val="yellow"/>
        </w:rPr>
        <w:t xml:space="preserve"> limitations, controls, and requirements in the permit in question are permanent, quantifiable, and otherwise enforceable as a practical matter;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permit in question was issued only after adequate and timely notice and opportunity for comment for EPA and the public.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Limitations and conditions in a State rule or program that has been approved by the EPA under subpart E of this part for the purposes of implementing and enforcing section 112;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(8) Individual consent agreements that the EPA has legal authority to create.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Fixed capital cost </w:t>
      </w:r>
      <w:r w:rsidRPr="006D4EE5">
        <w:rPr>
          <w:rFonts w:ascii="Times New Roman" w:hAnsi="Times New Roman" w:cs="Times New Roman"/>
          <w:strike/>
          <w:sz w:val="20"/>
          <w:szCs w:val="20"/>
          <w:highlight w:val="yellow"/>
        </w:rPr>
        <w:t>means the capital needed to provide all the depreciable components of an existing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Force majeure </w:t>
      </w:r>
      <w:r w:rsidRPr="006D4EE5">
        <w:rPr>
          <w:rFonts w:ascii="Times New Roman" w:hAnsi="Times New Roman" w:cs="Times New Roman"/>
          <w:strike/>
          <w:sz w:val="20"/>
          <w:szCs w:val="20"/>
          <w:highlight w:val="yellow"/>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Fugitive emissions </w:t>
      </w:r>
      <w:r w:rsidRPr="006D4EE5">
        <w:rPr>
          <w:rFonts w:ascii="Times New Roman" w:hAnsi="Times New Roman" w:cs="Times New Roman"/>
          <w:strike/>
          <w:sz w:val="20"/>
          <w:szCs w:val="20"/>
          <w:highlight w:val="yellow"/>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Hazardous air pollutant </w:t>
      </w:r>
      <w:r w:rsidRPr="006D4EE5">
        <w:rPr>
          <w:rFonts w:ascii="Times New Roman" w:hAnsi="Times New Roman" w:cs="Times New Roman"/>
          <w:strike/>
          <w:sz w:val="20"/>
          <w:szCs w:val="20"/>
          <w:highlight w:val="yellow"/>
        </w:rPr>
        <w:t>means any air pollutant listed in or pursuant to section 112(b)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Issuance </w:t>
      </w:r>
      <w:r w:rsidRPr="006D4EE5">
        <w:rPr>
          <w:rFonts w:ascii="Times New Roman" w:hAnsi="Times New Roman" w:cs="Times New Roman"/>
          <w:strike/>
          <w:sz w:val="20"/>
          <w:szCs w:val="20"/>
          <w:highlight w:val="yellow"/>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Major source </w:t>
      </w:r>
      <w:r w:rsidRPr="006D4EE5">
        <w:rPr>
          <w:rFonts w:ascii="Times New Roman" w:hAnsi="Times New Roman" w:cs="Times New Roman"/>
          <w:strike/>
          <w:sz w:val="20"/>
          <w:szCs w:val="20"/>
          <w:highlight w:val="yellow"/>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Malfunction </w:t>
      </w:r>
      <w:r w:rsidRPr="006D4EE5">
        <w:rPr>
          <w:rFonts w:ascii="Times New Roman" w:hAnsi="Times New Roman" w:cs="Times New Roman"/>
          <w:strike/>
          <w:sz w:val="20"/>
          <w:szCs w:val="20"/>
          <w:highlight w:val="yellow"/>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Monitoring </w:t>
      </w:r>
      <w:r w:rsidRPr="006D4EE5">
        <w:rPr>
          <w:rFonts w:ascii="Times New Roman" w:hAnsi="Times New Roman" w:cs="Times New Roman"/>
          <w:strike/>
          <w:sz w:val="20"/>
          <w:szCs w:val="20"/>
          <w:highlight w:val="yellow"/>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New affected source </w:t>
      </w:r>
      <w:r w:rsidRPr="006D4EE5">
        <w:rPr>
          <w:rFonts w:ascii="Times New Roman" w:hAnsi="Times New Roman" w:cs="Times New Roman"/>
          <w:strike/>
          <w:sz w:val="20"/>
          <w:szCs w:val="20"/>
          <w:highlight w:val="yellow"/>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Emission reduction impacts of controlling individual sources versus groups of sources;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Cost effectiveness of controlling individual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Flexibility to accommodate common control strategies;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Cost/benefits of emissions averaging;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Incentives for pollution prevention;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Feasibility and cost of controlling processes that share common equipment (e.g., product recovery devices);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Feasibility and cost of monitoring;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Other relevant factors.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New source </w:t>
      </w:r>
      <w:r w:rsidRPr="006D4EE5">
        <w:rPr>
          <w:rFonts w:ascii="Times New Roman" w:hAnsi="Times New Roman" w:cs="Times New Roman"/>
          <w:strike/>
          <w:sz w:val="20"/>
          <w:szCs w:val="20"/>
          <w:highlight w:val="yellow"/>
        </w:rPr>
        <w:t>means any affected source the construction or reconstruction of which is commenced after the Administrator first proposes a relevant emission standard under this part establishing an emission standard applicable to such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One-hour period, </w:t>
      </w:r>
      <w:r w:rsidRPr="006D4EE5">
        <w:rPr>
          <w:rFonts w:ascii="Times New Roman" w:hAnsi="Times New Roman" w:cs="Times New Roman"/>
          <w:strike/>
          <w:sz w:val="20"/>
          <w:szCs w:val="20"/>
          <w:highlight w:val="yellow"/>
        </w:rPr>
        <w:t>unless otherwise defined in an applicable subpart, means any 60-minute period commencing on the hour.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Opacity </w:t>
      </w:r>
      <w:r w:rsidRPr="006D4EE5">
        <w:rPr>
          <w:rFonts w:ascii="Times New Roman" w:hAnsi="Times New Roman" w:cs="Times New Roman"/>
          <w:strike/>
          <w:sz w:val="20"/>
          <w:szCs w:val="20"/>
          <w:highlight w:val="yellow"/>
        </w:rPr>
        <w:t>means the degree to which emissions reduce the transmission of light and obscure the view of an object in the background. For continuous opacity monitoring systems, opacity means the fraction of incident light that is attenuated by an optical medium.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Owner or operator </w:t>
      </w:r>
      <w:r w:rsidRPr="006D4EE5">
        <w:rPr>
          <w:rFonts w:ascii="Times New Roman" w:hAnsi="Times New Roman" w:cs="Times New Roman"/>
          <w:strike/>
          <w:sz w:val="20"/>
          <w:szCs w:val="20"/>
          <w:highlight w:val="yellow"/>
        </w:rPr>
        <w:t>means any person who owns, leases, operates, controls, or supervises a stationary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Performance audit </w:t>
      </w:r>
      <w:r w:rsidRPr="006D4EE5">
        <w:rPr>
          <w:rFonts w:ascii="Times New Roman" w:hAnsi="Times New Roman" w:cs="Times New Roman"/>
          <w:strike/>
          <w:sz w:val="20"/>
          <w:szCs w:val="20"/>
          <w:highlight w:val="yellow"/>
        </w:rPr>
        <w:t>means a procedure to analyze blind samples, the content of which is known by the Administrator, simultaneously with the analysis of performance test samples in order to provide a measure of test data quality.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Performance evaluation </w:t>
      </w:r>
      <w:r w:rsidRPr="006D4EE5">
        <w:rPr>
          <w:rFonts w:ascii="Times New Roman" w:hAnsi="Times New Roman" w:cs="Times New Roman"/>
          <w:strike/>
          <w:sz w:val="20"/>
          <w:szCs w:val="20"/>
          <w:highlight w:val="yellow"/>
        </w:rPr>
        <w:t>means the conduct of relative accuracy testing, calibration error testing, and other measurements used in validating the continuous monitoring system data.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Performance test </w:t>
      </w:r>
      <w:r w:rsidRPr="006D4EE5">
        <w:rPr>
          <w:rFonts w:ascii="Times New Roman" w:hAnsi="Times New Roman" w:cs="Times New Roman"/>
          <w:strike/>
          <w:sz w:val="20"/>
          <w:szCs w:val="20"/>
          <w:highlight w:val="yellow"/>
        </w:rPr>
        <w:t>means the collection of data resulting from the execution of a test method (usually three emission test runs) used to demonstrate compliance with a relevant emission standard as specified in the performance test section of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Permit modification </w:t>
      </w:r>
      <w:r w:rsidRPr="006D4EE5">
        <w:rPr>
          <w:rFonts w:ascii="Times New Roman" w:hAnsi="Times New Roman" w:cs="Times New Roman"/>
          <w:strike/>
          <w:sz w:val="20"/>
          <w:szCs w:val="20"/>
          <w:highlight w:val="yellow"/>
        </w:rPr>
        <w:t>means a change to a title V permit as defined in regulations codified in this chapter to implement title V of the Act (42 U.S.C. 7661).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Permit program </w:t>
      </w:r>
      <w:r w:rsidRPr="006D4EE5">
        <w:rPr>
          <w:rFonts w:ascii="Times New Roman" w:hAnsi="Times New Roman" w:cs="Times New Roman"/>
          <w:strike/>
          <w:sz w:val="20"/>
          <w:szCs w:val="20"/>
          <w:highlight w:val="yellow"/>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Permit revision </w:t>
      </w:r>
      <w:r w:rsidRPr="006D4EE5">
        <w:rPr>
          <w:rFonts w:ascii="Times New Roman" w:hAnsi="Times New Roman" w:cs="Times New Roman"/>
          <w:strike/>
          <w:sz w:val="20"/>
          <w:szCs w:val="20"/>
          <w:highlight w:val="yellow"/>
        </w:rPr>
        <w:t>means any permit modification or administrative permit amendment to a title V permit as defined in regulations codified in this chapter to implement title V of the Act (42 U.S.C. 7661).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Permitting authority </w:t>
      </w:r>
      <w:r w:rsidRPr="006D4EE5">
        <w:rPr>
          <w:rFonts w:ascii="Times New Roman" w:hAnsi="Times New Roman" w:cs="Times New Roman"/>
          <w:strike/>
          <w:sz w:val="20"/>
          <w:szCs w:val="20"/>
          <w:highlight w:val="yellow"/>
        </w:rPr>
        <w:t>means: (1) The State air pollution control agency, local agency, other State agency, or other agency authorized by the Administrator to carry out a permit program under part 70 of this chapter;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Administrator, in the case of EPA-implemented permit programs under title V of the Act (42 U.S.C. 7661).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Pollution Prevention </w:t>
      </w:r>
      <w:r w:rsidRPr="006D4EE5">
        <w:rPr>
          <w:rFonts w:ascii="Times New Roman" w:hAnsi="Times New Roman" w:cs="Times New Roman"/>
          <w:strike/>
          <w:sz w:val="20"/>
          <w:szCs w:val="20"/>
          <w:highlight w:val="yellow"/>
        </w:rPr>
        <w:t xml:space="preserve">means </w:t>
      </w:r>
      <w:r w:rsidRPr="006D4EE5">
        <w:rPr>
          <w:rFonts w:ascii="Times New Roman" w:hAnsi="Times New Roman" w:cs="Times New Roman"/>
          <w:i/>
          <w:iCs/>
          <w:strike/>
          <w:sz w:val="20"/>
          <w:szCs w:val="20"/>
          <w:highlight w:val="yellow"/>
        </w:rPr>
        <w:t xml:space="preserve">source reduction </w:t>
      </w:r>
      <w:r w:rsidRPr="006D4EE5">
        <w:rPr>
          <w:rFonts w:ascii="Times New Roman" w:hAnsi="Times New Roman" w:cs="Times New Roman"/>
          <w:strike/>
          <w:sz w:val="20"/>
          <w:szCs w:val="20"/>
          <w:highlight w:val="yellow"/>
        </w:rPr>
        <w:t>as defined under the Pollution Prevention Act (42 U.S.C. 13101–13109). The definition is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Source reduction </w:t>
      </w:r>
      <w:r w:rsidRPr="006D4EE5">
        <w:rPr>
          <w:rFonts w:ascii="Times New Roman" w:hAnsi="Times New Roman" w:cs="Times New Roman"/>
          <w:strike/>
          <w:sz w:val="20"/>
          <w:szCs w:val="20"/>
          <w:highlight w:val="yellow"/>
        </w:rPr>
        <w:t>is any practice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Reduces the amount of any hazardous substance, pollutant, or contaminant entering any waste stream or otherwise released into the environment (including fugitive emissions) prior to recycling, treatment, or disposal;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Reduces the hazards to public health and the environment associated with the release of such substances, pollutants, or contaminants.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The term </w:t>
      </w:r>
      <w:r w:rsidRPr="006D4EE5">
        <w:rPr>
          <w:rFonts w:ascii="Times New Roman" w:hAnsi="Times New Roman" w:cs="Times New Roman"/>
          <w:i/>
          <w:iCs/>
          <w:strike/>
          <w:sz w:val="20"/>
          <w:szCs w:val="20"/>
          <w:highlight w:val="yellow"/>
        </w:rPr>
        <w:t xml:space="preserve">source reduction </w:t>
      </w:r>
      <w:r w:rsidRPr="006D4EE5">
        <w:rPr>
          <w:rFonts w:ascii="Times New Roman" w:hAnsi="Times New Roman" w:cs="Times New Roman"/>
          <w:strike/>
          <w:sz w:val="20"/>
          <w:szCs w:val="20"/>
          <w:highlight w:val="yellow"/>
        </w:rPr>
        <w:t>includes equipment or technology modifications, process or procedure modifications, reformulation or redesign of products, substitution of raw materials, and improvements in housekeeping, maintenance, training, or inventory control.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The term </w:t>
      </w:r>
      <w:r w:rsidRPr="006D4EE5">
        <w:rPr>
          <w:rFonts w:ascii="Times New Roman" w:hAnsi="Times New Roman" w:cs="Times New Roman"/>
          <w:i/>
          <w:iCs/>
          <w:strike/>
          <w:sz w:val="20"/>
          <w:szCs w:val="20"/>
          <w:highlight w:val="yellow"/>
        </w:rPr>
        <w:t xml:space="preserve">source reduction </w:t>
      </w:r>
      <w:r w:rsidRPr="006D4EE5">
        <w:rPr>
          <w:rFonts w:ascii="Times New Roman" w:hAnsi="Times New Roman" w:cs="Times New Roman"/>
          <w:strike/>
          <w:sz w:val="20"/>
          <w:szCs w:val="20"/>
          <w:highlight w:val="yellow"/>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Potential to emit </w:t>
      </w:r>
      <w:r w:rsidRPr="006D4EE5">
        <w:rPr>
          <w:rFonts w:ascii="Times New Roman" w:hAnsi="Times New Roman" w:cs="Times New Roman"/>
          <w:strike/>
          <w:sz w:val="20"/>
          <w:szCs w:val="20"/>
          <w:highlight w:val="yellow"/>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Reconstruction, </w:t>
      </w:r>
      <w:r w:rsidRPr="006D4EE5">
        <w:rPr>
          <w:rFonts w:ascii="Times New Roman" w:hAnsi="Times New Roman" w:cs="Times New Roman"/>
          <w:strike/>
          <w:sz w:val="20"/>
          <w:szCs w:val="20"/>
          <w:highlight w:val="yellow"/>
        </w:rPr>
        <w:t>unless otherwise defined in a relevant standard, means the replacement of components of an affected or a previously nonaffected source to such an extent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fixed capital cost of the new components exceeds 50 percent of the fixed capital cost that would be required to construct a comparable new source;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Regulation promulgation schedule </w:t>
      </w:r>
      <w:r w:rsidRPr="006D4EE5">
        <w:rPr>
          <w:rFonts w:ascii="Times New Roman" w:hAnsi="Times New Roman" w:cs="Times New Roman"/>
          <w:strike/>
          <w:sz w:val="20"/>
          <w:szCs w:val="20"/>
          <w:highlight w:val="yellow"/>
        </w:rPr>
        <w:t xml:space="preserve">means the schedule for the promulgation of emission standards under this part, established by the Administrator pursuant to section 112(e) of the Act and published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Register.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Relevant standard </w:t>
      </w:r>
      <w:r w:rsidRPr="006D4EE5">
        <w:rPr>
          <w:rFonts w:ascii="Times New Roman" w:hAnsi="Times New Roman" w:cs="Times New Roman"/>
          <w:strike/>
          <w:sz w:val="20"/>
          <w:szCs w:val="20"/>
          <w:highlight w:val="yellow"/>
        </w:rPr>
        <w:t>means: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(1) An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 alternative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An alternative emission limitation;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Responsible official </w:t>
      </w:r>
      <w:r w:rsidRPr="006D4EE5">
        <w:rPr>
          <w:rFonts w:ascii="Times New Roman" w:hAnsi="Times New Roman" w:cs="Times New Roman"/>
          <w:strike/>
          <w:sz w:val="20"/>
          <w:szCs w:val="20"/>
          <w:highlight w:val="yellow"/>
        </w:rPr>
        <w:t>means one of the following: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facilities employ more than 250 persons or have gross annual sales or expenditures exceeding $25 million (in second quarter 1980 dollars);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delegation of authority to such representative is approved in advance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a partnership or sole proprietorship: a general partner or the proprietor, respectively.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For affected sources (as defined in this part) applying for or subject to a title V permit: “responsible official” shall have the same meaning as defined in part 70 or Federal title V regulations in this chapter (42 U.S.C. 7661), whichever is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Run </w:t>
      </w:r>
      <w:r w:rsidRPr="006D4EE5">
        <w:rPr>
          <w:rFonts w:ascii="Times New Roman" w:hAnsi="Times New Roman" w:cs="Times New Roman"/>
          <w:strike/>
          <w:sz w:val="20"/>
          <w:szCs w:val="20"/>
          <w:highlight w:val="yellow"/>
        </w:rPr>
        <w:t>means one of a series of emission or other measurements needed to determine emissions for a representative operating period or cycle as specified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Shutdown </w:t>
      </w:r>
      <w:r w:rsidRPr="006D4EE5">
        <w:rPr>
          <w:rFonts w:ascii="Times New Roman" w:hAnsi="Times New Roman" w:cs="Times New Roman"/>
          <w:strike/>
          <w:sz w:val="20"/>
          <w:szCs w:val="20"/>
          <w:highlight w:val="yellow"/>
        </w:rPr>
        <w:t>means the cessation of operation of an affected source or portion of an affected source for any purpose.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Six-minute period </w:t>
      </w:r>
      <w:r w:rsidRPr="006D4EE5">
        <w:rPr>
          <w:rFonts w:ascii="Times New Roman" w:hAnsi="Times New Roman" w:cs="Times New Roman"/>
          <w:strike/>
          <w:sz w:val="20"/>
          <w:szCs w:val="20"/>
          <w:highlight w:val="yellow"/>
        </w:rPr>
        <w:t>means, with respect to opacity determinations, any one of the 10 equal parts of a 1-hour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Source at a Performance Track member facility </w:t>
      </w:r>
      <w:r w:rsidRPr="006D4EE5">
        <w:rPr>
          <w:rFonts w:ascii="Times New Roman" w:hAnsi="Times New Roman" w:cs="Times New Roman"/>
          <w:strike/>
          <w:sz w:val="20"/>
          <w:szCs w:val="20"/>
          <w:highlight w:val="yellow"/>
        </w:rPr>
        <w:t xml:space="preserve">means a major or area source located at a facility which has been accepted by EPA for membership in the Performance Track Program (as described at </w:t>
      </w:r>
      <w:r w:rsidRPr="006D4EE5">
        <w:rPr>
          <w:rFonts w:ascii="Times New Roman" w:hAnsi="Times New Roman" w:cs="Times New Roman"/>
          <w:i/>
          <w:iCs/>
          <w:strike/>
          <w:sz w:val="20"/>
          <w:szCs w:val="20"/>
          <w:highlight w:val="yellow"/>
        </w:rPr>
        <w:t>www.epa.gov/</w:t>
      </w:r>
      <w:proofErr w:type="gramStart"/>
      <w:r w:rsidRPr="006D4EE5">
        <w:rPr>
          <w:rFonts w:ascii="Times New Roman" w:hAnsi="Times New Roman" w:cs="Times New Roman"/>
          <w:i/>
          <w:iCs/>
          <w:strike/>
          <w:sz w:val="20"/>
          <w:szCs w:val="20"/>
          <w:highlight w:val="yellow"/>
        </w:rPr>
        <w:t xml:space="preserve">PerformanceTrack </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Standard conditions </w:t>
      </w:r>
      <w:r w:rsidRPr="006D4EE5">
        <w:rPr>
          <w:rFonts w:ascii="Times New Roman" w:hAnsi="Times New Roman" w:cs="Times New Roman"/>
          <w:strike/>
          <w:sz w:val="20"/>
          <w:szCs w:val="20"/>
          <w:highlight w:val="yellow"/>
        </w:rPr>
        <w:t>means a temperature of 293 K (68 °F) and a pressure of 101.3 kilopascals (29.92 in. Hg).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Startup </w:t>
      </w:r>
      <w:r w:rsidRPr="006D4EE5">
        <w:rPr>
          <w:rFonts w:ascii="Times New Roman" w:hAnsi="Times New Roman" w:cs="Times New Roman"/>
          <w:strike/>
          <w:sz w:val="20"/>
          <w:szCs w:val="20"/>
          <w:highlight w:val="yellow"/>
        </w:rPr>
        <w:t>means the setting in operation of an affected source or portion of an affected source for any purpose.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State </w:t>
      </w:r>
      <w:r w:rsidRPr="006D4EE5">
        <w:rPr>
          <w:rFonts w:ascii="Times New Roman" w:hAnsi="Times New Roman" w:cs="Times New Roman"/>
          <w:strike/>
          <w:sz w:val="20"/>
          <w:szCs w:val="20"/>
          <w:highlight w:val="yellow"/>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Stationary source </w:t>
      </w:r>
      <w:r w:rsidRPr="006D4EE5">
        <w:rPr>
          <w:rFonts w:ascii="Times New Roman" w:hAnsi="Times New Roman" w:cs="Times New Roman"/>
          <w:strike/>
          <w:sz w:val="20"/>
          <w:szCs w:val="20"/>
          <w:highlight w:val="yellow"/>
        </w:rPr>
        <w:t>means any building, structure, facility, or installation which emits or may emit any air pollutant.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Test method </w:t>
      </w:r>
      <w:r w:rsidRPr="006D4EE5">
        <w:rPr>
          <w:rFonts w:ascii="Times New Roman" w:hAnsi="Times New Roman" w:cs="Times New Roman"/>
          <w:strike/>
          <w:sz w:val="20"/>
          <w:szCs w:val="20"/>
          <w:highlight w:val="yellow"/>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Title V permit </w:t>
      </w:r>
      <w:r w:rsidRPr="006D4EE5">
        <w:rPr>
          <w:rFonts w:ascii="Times New Roman" w:hAnsi="Times New Roman" w:cs="Times New Roman"/>
          <w:strike/>
          <w:sz w:val="20"/>
          <w:szCs w:val="20"/>
          <w:highlight w:val="yellow"/>
        </w:rPr>
        <w:t>means any permit issued, renewed, or revised pursuant to Federal or State regulations established to implement title V of the Act (42 U.S.C. 7661). A title V permit issued by a State permitting authority is called a part 70 permit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Visible emission </w:t>
      </w:r>
      <w:r w:rsidRPr="006D4EE5">
        <w:rPr>
          <w:rFonts w:ascii="Times New Roman" w:hAnsi="Times New Roman" w:cs="Times New Roman"/>
          <w:strike/>
          <w:sz w:val="20"/>
          <w:szCs w:val="20"/>
          <w:highlight w:val="yellow"/>
        </w:rPr>
        <w:t>means the observation of an emission of opacity or optical density above the threshold of vision.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Working day </w:t>
      </w:r>
      <w:r w:rsidRPr="006D4EE5">
        <w:rPr>
          <w:rFonts w:ascii="Times New Roman" w:hAnsi="Times New Roman" w:cs="Times New Roman"/>
          <w:strike/>
          <w:sz w:val="20"/>
          <w:szCs w:val="20"/>
          <w:highlight w:val="yellow"/>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67 FR 16596, Apr. 5, 2002; 68 FR 32600, May 30, 2003; 69 FR 21752, Apr. 22, 2004; 72 FR 27443, May 16, 2007]</w:t>
      </w:r>
    </w:p>
    <w:p w:rsidR="00EB7550" w:rsidRPr="006D4EE5" w:rsidRDefault="00EB7550" w:rsidP="00EB7550">
      <w:pPr>
        <w:pStyle w:val="Heading5"/>
        <w:jc w:val="both"/>
        <w:rPr>
          <w:strike/>
          <w:sz w:val="20"/>
          <w:szCs w:val="20"/>
          <w:highlight w:val="yellow"/>
        </w:rPr>
      </w:pPr>
      <w:r w:rsidRPr="006D4EE5">
        <w:rPr>
          <w:strike/>
          <w:sz w:val="20"/>
          <w:szCs w:val="20"/>
          <w:highlight w:val="yellow"/>
        </w:rPr>
        <w:t>§ 63.3   Units and abbreviations.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Used in this part are abbreviations and symbols of units of measure. These are defined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System International (SI) units of measure: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 ampere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 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Hz = hertz</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J = joule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degree Kelvin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kg</w:t>
      </w:r>
      <w:proofErr w:type="gramEnd"/>
      <w:r w:rsidRPr="006D4EE5">
        <w:rPr>
          <w:rFonts w:ascii="Times New Roman" w:hAnsi="Times New Roman" w:cs="Times New Roman"/>
          <w:strike/>
          <w:sz w:val="20"/>
          <w:szCs w:val="20"/>
          <w:highlight w:val="yellow"/>
        </w:rPr>
        <w:t xml:space="preserve"> = kilogram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 = liter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 = meter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 cubic meter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mg</w:t>
      </w:r>
      <w:proofErr w:type="gramEnd"/>
      <w:r w:rsidRPr="006D4EE5">
        <w:rPr>
          <w:rFonts w:ascii="Times New Roman" w:hAnsi="Times New Roman" w:cs="Times New Roman"/>
          <w:strike/>
          <w:sz w:val="20"/>
          <w:szCs w:val="20"/>
          <w:highlight w:val="yellow"/>
        </w:rPr>
        <w:t xml:space="preserve"> = milligram = 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gram</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ml</w:t>
      </w:r>
      <w:proofErr w:type="gramEnd"/>
      <w:r w:rsidRPr="006D4EE5">
        <w:rPr>
          <w:rFonts w:ascii="Times New Roman" w:hAnsi="Times New Roman" w:cs="Times New Roman"/>
          <w:strike/>
          <w:sz w:val="20"/>
          <w:szCs w:val="20"/>
          <w:highlight w:val="yellow"/>
        </w:rPr>
        <w:t xml:space="preserve"> = milliliter = 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liter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lastRenderedPageBreak/>
        <w:t>mm</w:t>
      </w:r>
      <w:proofErr w:type="gramEnd"/>
      <w:r w:rsidRPr="006D4EE5">
        <w:rPr>
          <w:rFonts w:ascii="Times New Roman" w:hAnsi="Times New Roman" w:cs="Times New Roman"/>
          <w:strike/>
          <w:sz w:val="20"/>
          <w:szCs w:val="20"/>
          <w:highlight w:val="yellow"/>
        </w:rPr>
        <w:t xml:space="preserve"> = millimeter = 10</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meter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Mg = megagram = 10</w:t>
      </w:r>
      <w:r w:rsidRPr="006D4EE5">
        <w:rPr>
          <w:rFonts w:ascii="Times New Roman" w:hAnsi="Times New Roman" w:cs="Times New Roman"/>
          <w:strike/>
          <w:sz w:val="20"/>
          <w:szCs w:val="20"/>
          <w:highlight w:val="yellow"/>
          <w:vertAlign w:val="superscript"/>
        </w:rPr>
        <w:t>6</w:t>
      </w:r>
      <w:r w:rsidRPr="006D4EE5">
        <w:rPr>
          <w:rFonts w:ascii="Times New Roman" w:hAnsi="Times New Roman" w:cs="Times New Roman"/>
          <w:strike/>
          <w:sz w:val="20"/>
          <w:szCs w:val="20"/>
          <w:highlight w:val="yellow"/>
        </w:rPr>
        <w:t xml:space="preserve"> gram = metric ton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MJ = megajoule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mol</w:t>
      </w:r>
      <w:proofErr w:type="gramEnd"/>
      <w:r w:rsidRPr="006D4EE5">
        <w:rPr>
          <w:rFonts w:ascii="Times New Roman" w:hAnsi="Times New Roman" w:cs="Times New Roman"/>
          <w:strike/>
          <w:sz w:val="20"/>
          <w:szCs w:val="20"/>
          <w:highlight w:val="yellow"/>
        </w:rPr>
        <w:t xml:space="preserve"> = mole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 = newton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ng</w:t>
      </w:r>
      <w:proofErr w:type="gramEnd"/>
      <w:r w:rsidRPr="006D4EE5">
        <w:rPr>
          <w:rFonts w:ascii="Times New Roman" w:hAnsi="Times New Roman" w:cs="Times New Roman"/>
          <w:strike/>
          <w:sz w:val="20"/>
          <w:szCs w:val="20"/>
          <w:highlight w:val="yellow"/>
        </w:rPr>
        <w:t xml:space="preserve"> = nanogram = 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gram</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nm</w:t>
      </w:r>
      <w:proofErr w:type="gramEnd"/>
      <w:r w:rsidRPr="006D4EE5">
        <w:rPr>
          <w:rFonts w:ascii="Times New Roman" w:hAnsi="Times New Roman" w:cs="Times New Roman"/>
          <w:strike/>
          <w:sz w:val="20"/>
          <w:szCs w:val="20"/>
          <w:highlight w:val="yellow"/>
        </w:rPr>
        <w:t xml:space="preserve"> = nanometer = 10</w:t>
      </w:r>
      <w:r w:rsidRPr="006D4EE5">
        <w:rPr>
          <w:rFonts w:ascii="Times New Roman" w:hAnsi="Times New Roman" w:cs="Times New Roman"/>
          <w:strike/>
          <w:sz w:val="20"/>
          <w:szCs w:val="20"/>
          <w:highlight w:val="yellow"/>
          <w:vertAlign w:val="superscript"/>
        </w:rPr>
        <w:t>−9</w:t>
      </w:r>
      <w:r w:rsidRPr="006D4EE5">
        <w:rPr>
          <w:rFonts w:ascii="Times New Roman" w:hAnsi="Times New Roman" w:cs="Times New Roman"/>
          <w:strike/>
          <w:sz w:val="20"/>
          <w:szCs w:val="20"/>
          <w:highlight w:val="yellow"/>
        </w:rPr>
        <w:t>meter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Pa = pascal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s = second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 volt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 = watt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Ω = ohm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µg = microgram = 10</w:t>
      </w:r>
      <w:r w:rsidRPr="006D4EE5">
        <w:rPr>
          <w:rFonts w:ascii="Times New Roman" w:hAnsi="Times New Roman" w:cs="Times New Roman"/>
          <w:strike/>
          <w:sz w:val="20"/>
          <w:szCs w:val="20"/>
          <w:highlight w:val="yellow"/>
          <w:vertAlign w:val="superscript"/>
        </w:rPr>
        <w:t>−6</w:t>
      </w:r>
      <w:r w:rsidRPr="006D4EE5">
        <w:rPr>
          <w:rFonts w:ascii="Times New Roman" w:hAnsi="Times New Roman" w:cs="Times New Roman"/>
          <w:strike/>
          <w:sz w:val="20"/>
          <w:szCs w:val="20"/>
          <w:highlight w:val="yellow"/>
        </w:rPr>
        <w:t>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µl = microliter = 10</w:t>
      </w:r>
      <w:r w:rsidRPr="006D4EE5">
        <w:rPr>
          <w:rFonts w:ascii="Times New Roman" w:hAnsi="Times New Roman" w:cs="Times New Roman"/>
          <w:strike/>
          <w:sz w:val="20"/>
          <w:szCs w:val="20"/>
          <w:highlight w:val="yellow"/>
          <w:vertAlign w:val="superscript"/>
        </w:rPr>
        <w:t>−6</w:t>
      </w:r>
      <w:r w:rsidRPr="006D4EE5">
        <w:rPr>
          <w:rFonts w:ascii="Times New Roman" w:hAnsi="Times New Roman" w:cs="Times New Roman"/>
          <w:strike/>
          <w:sz w:val="20"/>
          <w:szCs w:val="20"/>
          <w:highlight w:val="yellow"/>
        </w:rPr>
        <w:t>liter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Other units of measure: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Btu = British thermal unit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 degree Celsius (centigrade)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cal</w:t>
      </w:r>
      <w:proofErr w:type="gramEnd"/>
      <w:r w:rsidRPr="006D4EE5">
        <w:rPr>
          <w:rFonts w:ascii="Times New Roman" w:hAnsi="Times New Roman" w:cs="Times New Roman"/>
          <w:strike/>
          <w:sz w:val="20"/>
          <w:szCs w:val="20"/>
          <w:highlight w:val="yellow"/>
        </w:rPr>
        <w:t xml:space="preserve"> = calorie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cfm</w:t>
      </w:r>
      <w:proofErr w:type="gramEnd"/>
      <w:r w:rsidRPr="006D4EE5">
        <w:rPr>
          <w:rFonts w:ascii="Times New Roman" w:hAnsi="Times New Roman" w:cs="Times New Roman"/>
          <w:strike/>
          <w:sz w:val="20"/>
          <w:szCs w:val="20"/>
          <w:highlight w:val="yellow"/>
        </w:rPr>
        <w:t xml:space="preserve"> = cubic feet per minute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cc = cubic centimeter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cu</w:t>
      </w:r>
      <w:proofErr w:type="gramEnd"/>
      <w:r w:rsidRPr="006D4EE5">
        <w:rPr>
          <w:rFonts w:ascii="Times New Roman" w:hAnsi="Times New Roman" w:cs="Times New Roman"/>
          <w:strike/>
          <w:sz w:val="20"/>
          <w:szCs w:val="20"/>
          <w:highlight w:val="yellow"/>
        </w:rPr>
        <w:t xml:space="preserve"> ft = cubic feet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 day</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dcf</w:t>
      </w:r>
      <w:proofErr w:type="gramEnd"/>
      <w:r w:rsidRPr="006D4EE5">
        <w:rPr>
          <w:rFonts w:ascii="Times New Roman" w:hAnsi="Times New Roman" w:cs="Times New Roman"/>
          <w:strike/>
          <w:sz w:val="20"/>
          <w:szCs w:val="20"/>
          <w:highlight w:val="yellow"/>
        </w:rPr>
        <w:t xml:space="preserve"> = dry cubic feet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dcm</w:t>
      </w:r>
      <w:proofErr w:type="gramEnd"/>
      <w:r w:rsidRPr="006D4EE5">
        <w:rPr>
          <w:rFonts w:ascii="Times New Roman" w:hAnsi="Times New Roman" w:cs="Times New Roman"/>
          <w:strike/>
          <w:sz w:val="20"/>
          <w:szCs w:val="20"/>
          <w:highlight w:val="yellow"/>
        </w:rPr>
        <w:t xml:space="preserve"> = dry cubic meter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dscf</w:t>
      </w:r>
      <w:proofErr w:type="gramEnd"/>
      <w:r w:rsidRPr="006D4EE5">
        <w:rPr>
          <w:rFonts w:ascii="Times New Roman" w:hAnsi="Times New Roman" w:cs="Times New Roman"/>
          <w:strike/>
          <w:sz w:val="20"/>
          <w:szCs w:val="20"/>
          <w:highlight w:val="yellow"/>
        </w:rPr>
        <w:t xml:space="preserve"> = dry cubic feet at standard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lastRenderedPageBreak/>
        <w:t>dscm</w:t>
      </w:r>
      <w:proofErr w:type="gramEnd"/>
      <w:r w:rsidRPr="006D4EE5">
        <w:rPr>
          <w:rFonts w:ascii="Times New Roman" w:hAnsi="Times New Roman" w:cs="Times New Roman"/>
          <w:strike/>
          <w:sz w:val="20"/>
          <w:szCs w:val="20"/>
          <w:highlight w:val="yellow"/>
        </w:rPr>
        <w:t xml:space="preserve"> = dry cubic meter at standard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eq</w:t>
      </w:r>
      <w:proofErr w:type="gramEnd"/>
      <w:r w:rsidRPr="006D4EE5">
        <w:rPr>
          <w:rFonts w:ascii="Times New Roman" w:hAnsi="Times New Roman" w:cs="Times New Roman"/>
          <w:strike/>
          <w:sz w:val="20"/>
          <w:szCs w:val="20"/>
          <w:highlight w:val="yellow"/>
        </w:rPr>
        <w:t xml:space="preserve"> = equivalent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degree Fahrenheit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ft</w:t>
      </w:r>
      <w:proofErr w:type="gramEnd"/>
      <w:r w:rsidRPr="006D4EE5">
        <w:rPr>
          <w:rFonts w:ascii="Times New Roman" w:hAnsi="Times New Roman" w:cs="Times New Roman"/>
          <w:strike/>
          <w:sz w:val="20"/>
          <w:szCs w:val="20"/>
          <w:highlight w:val="yellow"/>
        </w:rPr>
        <w:t xml:space="preserve"> = feet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ft</w:t>
      </w:r>
      <w:r w:rsidRPr="006D4EE5">
        <w:rPr>
          <w:rFonts w:ascii="Times New Roman" w:hAnsi="Times New Roman" w:cs="Times New Roman"/>
          <w:strike/>
          <w:sz w:val="20"/>
          <w:szCs w:val="20"/>
          <w:highlight w:val="yellow"/>
          <w:vertAlign w:val="superscript"/>
        </w:rPr>
        <w:t>2</w:t>
      </w:r>
      <w:r w:rsidRPr="006D4EE5">
        <w:rPr>
          <w:rFonts w:ascii="Times New Roman" w:hAnsi="Times New Roman" w:cs="Times New Roman"/>
          <w:strike/>
          <w:sz w:val="20"/>
          <w:szCs w:val="20"/>
          <w:highlight w:val="yellow"/>
        </w:rPr>
        <w:t xml:space="preserve"> = square feet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ft</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 cubic feet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gal</w:t>
      </w:r>
      <w:proofErr w:type="gramEnd"/>
      <w:r w:rsidRPr="006D4EE5">
        <w:rPr>
          <w:rFonts w:ascii="Times New Roman" w:hAnsi="Times New Roman" w:cs="Times New Roman"/>
          <w:strike/>
          <w:sz w:val="20"/>
          <w:szCs w:val="20"/>
          <w:highlight w:val="yellow"/>
        </w:rPr>
        <w:t xml:space="preserve"> = gallon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gr</w:t>
      </w:r>
      <w:proofErr w:type="gramEnd"/>
      <w:r w:rsidRPr="006D4EE5">
        <w:rPr>
          <w:rFonts w:ascii="Times New Roman" w:hAnsi="Times New Roman" w:cs="Times New Roman"/>
          <w:strike/>
          <w:sz w:val="20"/>
          <w:szCs w:val="20"/>
          <w:highlight w:val="yellow"/>
        </w:rPr>
        <w:t xml:space="preserve"> = grain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g-eq</w:t>
      </w:r>
      <w:proofErr w:type="gramEnd"/>
      <w:r w:rsidRPr="006D4EE5">
        <w:rPr>
          <w:rFonts w:ascii="Times New Roman" w:hAnsi="Times New Roman" w:cs="Times New Roman"/>
          <w:strike/>
          <w:sz w:val="20"/>
          <w:szCs w:val="20"/>
          <w:highlight w:val="yellow"/>
        </w:rPr>
        <w:t xml:space="preserve"> = gram equivalent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g-mole</w:t>
      </w:r>
      <w:proofErr w:type="gramEnd"/>
      <w:r w:rsidRPr="006D4EE5">
        <w:rPr>
          <w:rFonts w:ascii="Times New Roman" w:hAnsi="Times New Roman" w:cs="Times New Roman"/>
          <w:strike/>
          <w:sz w:val="20"/>
          <w:szCs w:val="20"/>
          <w:highlight w:val="yellow"/>
        </w:rPr>
        <w:t xml:space="preserve"> = gram mole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hr</w:t>
      </w:r>
      <w:proofErr w:type="gramEnd"/>
      <w:r w:rsidRPr="006D4EE5">
        <w:rPr>
          <w:rFonts w:ascii="Times New Roman" w:hAnsi="Times New Roman" w:cs="Times New Roman"/>
          <w:strike/>
          <w:sz w:val="20"/>
          <w:szCs w:val="20"/>
          <w:highlight w:val="yellow"/>
        </w:rPr>
        <w:t xml:space="preserve"> = hour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in. = inch</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in</w:t>
      </w:r>
      <w:proofErr w:type="gramEnd"/>
      <w:r w:rsidRPr="006D4EE5">
        <w:rPr>
          <w:rFonts w:ascii="Times New Roman" w:hAnsi="Times New Roman" w:cs="Times New Roman"/>
          <w:strike/>
          <w:sz w:val="20"/>
          <w:szCs w:val="20"/>
          <w:highlight w:val="yellow"/>
        </w:rPr>
        <w:t>. H</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 = inches of water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1,000</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kcal</w:t>
      </w:r>
      <w:proofErr w:type="gramEnd"/>
      <w:r w:rsidRPr="006D4EE5">
        <w:rPr>
          <w:rFonts w:ascii="Times New Roman" w:hAnsi="Times New Roman" w:cs="Times New Roman"/>
          <w:strike/>
          <w:sz w:val="20"/>
          <w:szCs w:val="20"/>
          <w:highlight w:val="yellow"/>
        </w:rPr>
        <w:t xml:space="preserve"> = kilocalorie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lb</w:t>
      </w:r>
      <w:proofErr w:type="gramEnd"/>
      <w:r w:rsidRPr="006D4EE5">
        <w:rPr>
          <w:rFonts w:ascii="Times New Roman" w:hAnsi="Times New Roman" w:cs="Times New Roman"/>
          <w:strike/>
          <w:sz w:val="20"/>
          <w:szCs w:val="20"/>
          <w:highlight w:val="yellow"/>
        </w:rPr>
        <w:t xml:space="preserve"> = pound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lpm</w:t>
      </w:r>
      <w:proofErr w:type="gramEnd"/>
      <w:r w:rsidRPr="006D4EE5">
        <w:rPr>
          <w:rFonts w:ascii="Times New Roman" w:hAnsi="Times New Roman" w:cs="Times New Roman"/>
          <w:strike/>
          <w:sz w:val="20"/>
          <w:szCs w:val="20"/>
          <w:highlight w:val="yellow"/>
        </w:rPr>
        <w:t xml:space="preserve"> = liter per minute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meq</w:t>
      </w:r>
      <w:proofErr w:type="gramEnd"/>
      <w:r w:rsidRPr="006D4EE5">
        <w:rPr>
          <w:rFonts w:ascii="Times New Roman" w:hAnsi="Times New Roman" w:cs="Times New Roman"/>
          <w:strike/>
          <w:sz w:val="20"/>
          <w:szCs w:val="20"/>
          <w:highlight w:val="yellow"/>
        </w:rPr>
        <w:t xml:space="preserve"> = milliequivalent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min</w:t>
      </w:r>
      <w:proofErr w:type="gramEnd"/>
      <w:r w:rsidRPr="006D4EE5">
        <w:rPr>
          <w:rFonts w:ascii="Times New Roman" w:hAnsi="Times New Roman" w:cs="Times New Roman"/>
          <w:strike/>
          <w:sz w:val="20"/>
          <w:szCs w:val="20"/>
          <w:highlight w:val="yellow"/>
        </w:rPr>
        <w:t xml:space="preserve"> = minute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MW = molecular weight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oz</w:t>
      </w:r>
      <w:proofErr w:type="gramEnd"/>
      <w:r w:rsidRPr="006D4EE5">
        <w:rPr>
          <w:rFonts w:ascii="Times New Roman" w:hAnsi="Times New Roman" w:cs="Times New Roman"/>
          <w:strike/>
          <w:sz w:val="20"/>
          <w:szCs w:val="20"/>
          <w:highlight w:val="yellow"/>
        </w:rPr>
        <w:t xml:space="preserve"> = ounces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ppb</w:t>
      </w:r>
      <w:proofErr w:type="gramEnd"/>
      <w:r w:rsidRPr="006D4EE5">
        <w:rPr>
          <w:rFonts w:ascii="Times New Roman" w:hAnsi="Times New Roman" w:cs="Times New Roman"/>
          <w:strike/>
          <w:sz w:val="20"/>
          <w:szCs w:val="20"/>
          <w:highlight w:val="yellow"/>
        </w:rPr>
        <w:t xml:space="preserve"> = parts per billion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ppbw</w:t>
      </w:r>
      <w:proofErr w:type="gramEnd"/>
      <w:r w:rsidRPr="006D4EE5">
        <w:rPr>
          <w:rFonts w:ascii="Times New Roman" w:hAnsi="Times New Roman" w:cs="Times New Roman"/>
          <w:strike/>
          <w:sz w:val="20"/>
          <w:szCs w:val="20"/>
          <w:highlight w:val="yellow"/>
        </w:rPr>
        <w:t xml:space="preserve"> = parts per billion by weight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ppbv</w:t>
      </w:r>
      <w:proofErr w:type="gramEnd"/>
      <w:r w:rsidRPr="006D4EE5">
        <w:rPr>
          <w:rFonts w:ascii="Times New Roman" w:hAnsi="Times New Roman" w:cs="Times New Roman"/>
          <w:strike/>
          <w:sz w:val="20"/>
          <w:szCs w:val="20"/>
          <w:highlight w:val="yellow"/>
        </w:rPr>
        <w:t xml:space="preserve"> = parts per billion by volume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ppm</w:t>
      </w:r>
      <w:proofErr w:type="gramEnd"/>
      <w:r w:rsidRPr="006D4EE5">
        <w:rPr>
          <w:rFonts w:ascii="Times New Roman" w:hAnsi="Times New Roman" w:cs="Times New Roman"/>
          <w:strike/>
          <w:sz w:val="20"/>
          <w:szCs w:val="20"/>
          <w:highlight w:val="yellow"/>
        </w:rPr>
        <w:t xml:space="preserve"> = parts per million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lastRenderedPageBreak/>
        <w:t>ppmw</w:t>
      </w:r>
      <w:proofErr w:type="gramEnd"/>
      <w:r w:rsidRPr="006D4EE5">
        <w:rPr>
          <w:rFonts w:ascii="Times New Roman" w:hAnsi="Times New Roman" w:cs="Times New Roman"/>
          <w:strike/>
          <w:sz w:val="20"/>
          <w:szCs w:val="20"/>
          <w:highlight w:val="yellow"/>
        </w:rPr>
        <w:t xml:space="preserve"> = parts per million by weight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ppmv</w:t>
      </w:r>
      <w:proofErr w:type="gramEnd"/>
      <w:r w:rsidRPr="006D4EE5">
        <w:rPr>
          <w:rFonts w:ascii="Times New Roman" w:hAnsi="Times New Roman" w:cs="Times New Roman"/>
          <w:strike/>
          <w:sz w:val="20"/>
          <w:szCs w:val="20"/>
          <w:highlight w:val="yellow"/>
        </w:rPr>
        <w:t xml:space="preserve"> = parts per million by volume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psia</w:t>
      </w:r>
      <w:proofErr w:type="gramEnd"/>
      <w:r w:rsidRPr="006D4EE5">
        <w:rPr>
          <w:rFonts w:ascii="Times New Roman" w:hAnsi="Times New Roman" w:cs="Times New Roman"/>
          <w:strike/>
          <w:sz w:val="20"/>
          <w:szCs w:val="20"/>
          <w:highlight w:val="yellow"/>
        </w:rPr>
        <w:t xml:space="preserve"> = pounds per square inch absolute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psig</w:t>
      </w:r>
      <w:proofErr w:type="gramEnd"/>
      <w:r w:rsidRPr="006D4EE5">
        <w:rPr>
          <w:rFonts w:ascii="Times New Roman" w:hAnsi="Times New Roman" w:cs="Times New Roman"/>
          <w:strike/>
          <w:sz w:val="20"/>
          <w:szCs w:val="20"/>
          <w:highlight w:val="yellow"/>
        </w:rPr>
        <w:t xml:space="preserve"> = pounds per square inch gage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°R = degree Rankine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scf</w:t>
      </w:r>
      <w:proofErr w:type="gramEnd"/>
      <w:r w:rsidRPr="006D4EE5">
        <w:rPr>
          <w:rFonts w:ascii="Times New Roman" w:hAnsi="Times New Roman" w:cs="Times New Roman"/>
          <w:strike/>
          <w:sz w:val="20"/>
          <w:szCs w:val="20"/>
          <w:highlight w:val="yellow"/>
        </w:rPr>
        <w:t xml:space="preserve"> = cubic feet at standard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scfh</w:t>
      </w:r>
      <w:proofErr w:type="gramEnd"/>
      <w:r w:rsidRPr="006D4EE5">
        <w:rPr>
          <w:rFonts w:ascii="Times New Roman" w:hAnsi="Times New Roman" w:cs="Times New Roman"/>
          <w:strike/>
          <w:sz w:val="20"/>
          <w:szCs w:val="20"/>
          <w:highlight w:val="yellow"/>
        </w:rPr>
        <w:t xml:space="preserve"> = cubic feet at standard conditions per hour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scm</w:t>
      </w:r>
      <w:proofErr w:type="gramEnd"/>
      <w:r w:rsidRPr="006D4EE5">
        <w:rPr>
          <w:rFonts w:ascii="Times New Roman" w:hAnsi="Times New Roman" w:cs="Times New Roman"/>
          <w:strike/>
          <w:sz w:val="20"/>
          <w:szCs w:val="20"/>
          <w:highlight w:val="yellow"/>
        </w:rPr>
        <w:t xml:space="preserve"> = cubic meter at standard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scmm</w:t>
      </w:r>
      <w:proofErr w:type="gramEnd"/>
      <w:r w:rsidRPr="006D4EE5">
        <w:rPr>
          <w:rFonts w:ascii="Times New Roman" w:hAnsi="Times New Roman" w:cs="Times New Roman"/>
          <w:strike/>
          <w:sz w:val="20"/>
          <w:szCs w:val="20"/>
          <w:highlight w:val="yellow"/>
        </w:rPr>
        <w:t xml:space="preserve"> = cubic meter at standard conditions per minute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sec</w:t>
      </w:r>
      <w:proofErr w:type="gramEnd"/>
      <w:r w:rsidRPr="006D4EE5">
        <w:rPr>
          <w:rFonts w:ascii="Times New Roman" w:hAnsi="Times New Roman" w:cs="Times New Roman"/>
          <w:strike/>
          <w:sz w:val="20"/>
          <w:szCs w:val="20"/>
          <w:highlight w:val="yellow"/>
        </w:rPr>
        <w:t xml:space="preserve"> = second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sq</w:t>
      </w:r>
      <w:proofErr w:type="gramEnd"/>
      <w:r w:rsidRPr="006D4EE5">
        <w:rPr>
          <w:rFonts w:ascii="Times New Roman" w:hAnsi="Times New Roman" w:cs="Times New Roman"/>
          <w:strike/>
          <w:sz w:val="20"/>
          <w:szCs w:val="20"/>
          <w:highlight w:val="yellow"/>
        </w:rPr>
        <w:t xml:space="preserve"> ft = square feet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std</w:t>
      </w:r>
      <w:proofErr w:type="gramEnd"/>
      <w:r w:rsidRPr="006D4EE5">
        <w:rPr>
          <w:rFonts w:ascii="Times New Roman" w:hAnsi="Times New Roman" w:cs="Times New Roman"/>
          <w:strike/>
          <w:sz w:val="20"/>
          <w:szCs w:val="20"/>
          <w:highlight w:val="yellow"/>
        </w:rPr>
        <w:t xml:space="preserve"> = at standard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v/v</w:t>
      </w:r>
      <w:proofErr w:type="gramEnd"/>
      <w:r w:rsidRPr="006D4EE5">
        <w:rPr>
          <w:rFonts w:ascii="Times New Roman" w:hAnsi="Times New Roman" w:cs="Times New Roman"/>
          <w:strike/>
          <w:sz w:val="20"/>
          <w:szCs w:val="20"/>
          <w:highlight w:val="yellow"/>
        </w:rPr>
        <w:t xml:space="preserve"> = volume per volume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yd</w:t>
      </w:r>
      <w:r w:rsidRPr="006D4EE5">
        <w:rPr>
          <w:rFonts w:ascii="Times New Roman" w:hAnsi="Times New Roman" w:cs="Times New Roman"/>
          <w:strike/>
          <w:sz w:val="20"/>
          <w:szCs w:val="20"/>
          <w:highlight w:val="yellow"/>
          <w:vertAlign w:val="superscript"/>
        </w:rPr>
        <w:t>2</w:t>
      </w:r>
      <w:r w:rsidRPr="006D4EE5">
        <w:rPr>
          <w:rFonts w:ascii="Times New Roman" w:hAnsi="Times New Roman" w:cs="Times New Roman"/>
          <w:strike/>
          <w:sz w:val="20"/>
          <w:szCs w:val="20"/>
          <w:highlight w:val="yellow"/>
        </w:rPr>
        <w:t xml:space="preserve"> = square yards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yr</w:t>
      </w:r>
      <w:proofErr w:type="gramEnd"/>
      <w:r w:rsidRPr="006D4EE5">
        <w:rPr>
          <w:rFonts w:ascii="Times New Roman" w:hAnsi="Times New Roman" w:cs="Times New Roman"/>
          <w:strike/>
          <w:sz w:val="20"/>
          <w:szCs w:val="20"/>
          <w:highlight w:val="yellow"/>
        </w:rPr>
        <w:t xml:space="preserve"> =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Miscellaneous: </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act</w:t>
      </w:r>
      <w:proofErr w:type="gramEnd"/>
      <w:r w:rsidRPr="006D4EE5">
        <w:rPr>
          <w:rFonts w:ascii="Times New Roman" w:hAnsi="Times New Roman" w:cs="Times New Roman"/>
          <w:strike/>
          <w:sz w:val="20"/>
          <w:szCs w:val="20"/>
          <w:highlight w:val="yellow"/>
        </w:rPr>
        <w:t xml:space="preserve"> = actual</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avg</w:t>
      </w:r>
      <w:proofErr w:type="gramEnd"/>
      <w:r w:rsidRPr="006D4EE5">
        <w:rPr>
          <w:rFonts w:ascii="Times New Roman" w:hAnsi="Times New Roman" w:cs="Times New Roman"/>
          <w:strike/>
          <w:sz w:val="20"/>
          <w:szCs w:val="20"/>
          <w:highlight w:val="yellow"/>
        </w:rPr>
        <w:t xml:space="preserve"> = average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I.D. = inside diameter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 = molar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 = normal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O.D. = outside diameter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 percent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67 FR 16598, Apr. 5, 2002]</w:t>
      </w:r>
    </w:p>
    <w:p w:rsidR="00EB7550" w:rsidRPr="006D4EE5" w:rsidRDefault="00EB7550" w:rsidP="00EB7550">
      <w:pPr>
        <w:pStyle w:val="Heading5"/>
        <w:jc w:val="both"/>
        <w:rPr>
          <w:strike/>
          <w:sz w:val="20"/>
          <w:szCs w:val="20"/>
          <w:highlight w:val="yellow"/>
        </w:rPr>
      </w:pPr>
      <w:r w:rsidRPr="006D4EE5">
        <w:rPr>
          <w:strike/>
          <w:sz w:val="20"/>
          <w:szCs w:val="20"/>
          <w:highlight w:val="yellow"/>
        </w:rPr>
        <w:t>§ 63.4   Prohibited activities and circumvention.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(a) </w:t>
      </w:r>
      <w:r w:rsidRPr="006D4EE5">
        <w:rPr>
          <w:rFonts w:ascii="Times New Roman" w:hAnsi="Times New Roman" w:cs="Times New Roman"/>
          <w:i/>
          <w:iCs/>
          <w:strike/>
          <w:sz w:val="20"/>
          <w:szCs w:val="20"/>
          <w:highlight w:val="yellow"/>
        </w:rPr>
        <w:t xml:space="preserve">Prohibited activities. </w:t>
      </w:r>
      <w:r w:rsidRPr="006D4EE5">
        <w:rPr>
          <w:rFonts w:ascii="Times New Roman" w:hAnsi="Times New Roman" w:cs="Times New Roman"/>
          <w:strike/>
          <w:sz w:val="20"/>
          <w:szCs w:val="20"/>
          <w:highlight w:val="yellow"/>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No owner or operator subject to the provisions of this part shall fail to keep records, notify, report, or revise reports as required under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Circumvention. </w:t>
      </w:r>
      <w:r w:rsidRPr="006D4EE5">
        <w:rPr>
          <w:rFonts w:ascii="Times New Roman" w:hAnsi="Times New Roman" w:cs="Times New Roman"/>
          <w:strike/>
          <w:sz w:val="20"/>
          <w:szCs w:val="20"/>
          <w:highlight w:val="yellow"/>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use of diluents to achieve compliance with a relevant standard based on the concentration of a pollutant in the effluent discharged to the atmosphere;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use of gaseous diluents to achieve compliance with a relevant standard for visible emissions;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Fragmentation. </w:t>
      </w:r>
      <w:r w:rsidRPr="006D4EE5">
        <w:rPr>
          <w:rFonts w:ascii="Times New Roman" w:hAnsi="Times New Roman" w:cs="Times New Roman"/>
          <w:strike/>
          <w:sz w:val="20"/>
          <w:szCs w:val="20"/>
          <w:highlight w:val="yellow"/>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67 FR 16598, Apr. 5, 2002]</w:t>
      </w:r>
    </w:p>
    <w:p w:rsidR="00EB7550" w:rsidRPr="006D4EE5" w:rsidRDefault="00EB7550" w:rsidP="00EB7550">
      <w:pPr>
        <w:pStyle w:val="Heading5"/>
        <w:jc w:val="both"/>
        <w:rPr>
          <w:strike/>
          <w:sz w:val="20"/>
          <w:szCs w:val="20"/>
          <w:highlight w:val="yellow"/>
        </w:rPr>
      </w:pPr>
      <w:r w:rsidRPr="006D4EE5">
        <w:rPr>
          <w:strike/>
          <w:sz w:val="20"/>
          <w:szCs w:val="20"/>
          <w:highlight w:val="yellow"/>
        </w:rPr>
        <w:t>§ 63.5   Preconstruction review and notification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(1) This section implements the preconstruction review requirements of section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Requirements for existing, newly constructed, and reconstructed sources. </w:t>
      </w:r>
      <w:r w:rsidRPr="006D4EE5">
        <w:rPr>
          <w:rFonts w:ascii="Times New Roman" w:hAnsi="Times New Roman" w:cs="Times New Roman"/>
          <w:strike/>
          <w:sz w:val="20"/>
          <w:szCs w:val="20"/>
          <w:highlight w:val="yellow"/>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 Construct a new affected source that is major-emitting and subject to such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Reconstruct an affected source that is major-emitting and subject to such standard;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Reconstruct a major source such that the source becomes an affected source that is major-emitting and subject to the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Application for approval of construction or reconstruction. </w:t>
      </w:r>
      <w:r w:rsidRPr="006D4EE5">
        <w:rPr>
          <w:rFonts w:ascii="Times New Roman" w:hAnsi="Times New Roman" w:cs="Times New Roman"/>
          <w:strike/>
          <w:sz w:val="20"/>
          <w:szCs w:val="20"/>
          <w:highlight w:val="yellow"/>
        </w:rPr>
        <w:t>The provisions of this paragraph implement section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General application requirements. </w:t>
      </w:r>
      <w:r w:rsidRPr="006D4EE5">
        <w:rPr>
          <w:rFonts w:ascii="Times New Roman" w:hAnsi="Times New Roman" w:cs="Times New Roman"/>
          <w:strike/>
          <w:sz w:val="20"/>
          <w:szCs w:val="20"/>
          <w:highlight w:val="yellow"/>
        </w:rPr>
        <w:t>(i) An owner or operator who is subject to the requirements of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The owner or operator may submit the application for approval well in advance of the date actual construction or reconstruction begins in order to ensure a timely review by the Administrator and that the planned date to begin will not be delayed.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 separate application shall be submitted for each construction or reconstruction. Each application for approval of construction or reconstruction shall include at a minimum: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applicant's name and address;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address (i.e., physical location) or proposed address of the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An identification of the relevant standard that is the basis of the application;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expected date of the beginning of actual construction or reconstruction;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The expected completion date of the construction or reconstruction;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w:t>
      </w:r>
      <w:r w:rsidRPr="006D4EE5">
        <w:rPr>
          <w:rFonts w:ascii="Times New Roman" w:hAnsi="Times New Roman" w:cs="Times New Roman"/>
          <w:strike/>
          <w:sz w:val="20"/>
          <w:szCs w:val="20"/>
          <w:highlight w:val="yellow"/>
        </w:rPr>
        <w:lastRenderedPageBreak/>
        <w:t>established in terms of percent reduction. However, operating parameters, such as flow rate, shall be included in the submission to the extent that they demonstrate performance and compliance;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(J) Other information as specified in paragraphs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and (d)(3)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An owner or operator who submits estimates or preliminary information in place of the actual emissions data and analysis required in paragraphs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1)(ii)(H) and (d)(2) of this section shall submit the actual, measured emissions data and other correct information as soon as available but no later than with the notification of compliance status required in §63.9(h) (see §63.9(h)(5)).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Application for approval of construction. </w:t>
      </w:r>
      <w:r w:rsidRPr="006D4EE5">
        <w:rPr>
          <w:rFonts w:ascii="Times New Roman" w:hAnsi="Times New Roman" w:cs="Times New Roman"/>
          <w:strike/>
          <w:sz w:val="20"/>
          <w:szCs w:val="20"/>
          <w:highlight w:val="yellow"/>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Application for approval of reconstruction. </w:t>
      </w:r>
      <w:r w:rsidRPr="006D4EE5">
        <w:rPr>
          <w:rFonts w:ascii="Times New Roman" w:hAnsi="Times New Roman" w:cs="Times New Roman"/>
          <w:strike/>
          <w:sz w:val="20"/>
          <w:szCs w:val="20"/>
          <w:highlight w:val="yellow"/>
        </w:rPr>
        <w:t>Each application for approval of reconstruction shall include, in addition to the information required in paragraph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brief description of the affected source and the components that are to be replaced;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An estimate of the fixed capital cost of the replacements and of constructing a comparable entirely new source;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The</w:t>
      </w:r>
      <w:proofErr w:type="gramEnd"/>
      <w:r w:rsidRPr="006D4EE5">
        <w:rPr>
          <w:rFonts w:ascii="Times New Roman" w:hAnsi="Times New Roman" w:cs="Times New Roman"/>
          <w:strike/>
          <w:sz w:val="20"/>
          <w:szCs w:val="20"/>
          <w:highlight w:val="yellow"/>
        </w:rPr>
        <w:t xml:space="preserve"> estimated life of the affected source after the replacements;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3)(iii) through (d)(3)(v)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Additional information. </w:t>
      </w:r>
      <w:r w:rsidRPr="006D4EE5">
        <w:rPr>
          <w:rFonts w:ascii="Times New Roman" w:hAnsi="Times New Roman" w:cs="Times New Roman"/>
          <w:strike/>
          <w:sz w:val="20"/>
          <w:szCs w:val="20"/>
          <w:highlight w:val="yellow"/>
        </w:rPr>
        <w:t>The Administrator may request additional relevant information after the submittal of an application for approval of construction or reconstruction.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Approval of construction or reconstruction. </w:t>
      </w:r>
      <w:r w:rsidRPr="006D4EE5">
        <w:rPr>
          <w:rFonts w:ascii="Times New Roman" w:hAnsi="Times New Roman" w:cs="Times New Roman"/>
          <w:strike/>
          <w:sz w:val="20"/>
          <w:szCs w:val="20"/>
          <w:highlight w:val="yellow"/>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In addition, in the case of reconstruction, the Administrator's determination under this paragraph will be based 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fixed capital cost of the replacements in comparison to the fixed capital cost that would be required to construct a comparable entirely new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estimated life of the source after the replacements compared to the life of a comparable entirely new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extent to which the components being replaced cause or contribute to the emissions from the source;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Any economic or technical limitations on compliance with relevant standards that are inherent in the proposed replacements.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Before denying any application for approval of construction or reconstruction, the Administrator will notify the applicant of the Administrator's intention to issue the denial together with—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Notice of the information and findings on which the intended denial is based;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Notice of opportunity for the applicant to present, in writing, within 30 calendar days after he/she is notified of the intended denial, additional information or arguments to the Administrator to enable further action on the application.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Neither the submission of an application for approval nor the Administrator's approval of construction or reconstruction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Relieve an owner or operator of legal responsibility for compliance with any applicable provisions of this part or with any other applicable Federal, State, or local requirement;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Prevent the Administrator from implementing or enforcing this part or taking any other action under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f</w:t>
      </w:r>
      <w:proofErr w:type="gramEnd"/>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Approval of construction or reconstruction based on prior State preconstruction review. </w:t>
      </w:r>
      <w:r w:rsidRPr="006D4EE5">
        <w:rPr>
          <w:rFonts w:ascii="Times New Roman" w:hAnsi="Times New Roman" w:cs="Times New Roman"/>
          <w:strike/>
          <w:sz w:val="20"/>
          <w:szCs w:val="20"/>
          <w:highlight w:val="yellow"/>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The owner or operator of the new affected source or reconstructed affected source has undergone a preconstruction review and approval process in the State in which the source is (or would be) located and has received a federally enforceable </w:t>
      </w:r>
      <w:r w:rsidRPr="006D4EE5">
        <w:rPr>
          <w:rFonts w:ascii="Times New Roman" w:hAnsi="Times New Roman" w:cs="Times New Roman"/>
          <w:strike/>
          <w:sz w:val="20"/>
          <w:szCs w:val="20"/>
          <w:highlight w:val="yellow"/>
        </w:rPr>
        <w:lastRenderedPageBreak/>
        <w:t>construction permit that contains a finding that the source will meet the relevant promulgated emission standard, if the source is properly built and operated.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Provide a statement from the State or other evidence (such as State regulations) that it considered the factors specified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67 FR 16598, Apr. 5, 2002]</w:t>
      </w:r>
    </w:p>
    <w:p w:rsidR="00EB7550" w:rsidRPr="006D4EE5" w:rsidRDefault="00EB7550" w:rsidP="00EB7550">
      <w:pPr>
        <w:pStyle w:val="Heading5"/>
        <w:jc w:val="both"/>
        <w:rPr>
          <w:strike/>
          <w:sz w:val="20"/>
          <w:szCs w:val="20"/>
          <w:highlight w:val="yellow"/>
        </w:rPr>
      </w:pPr>
      <w:r w:rsidRPr="006D4EE5">
        <w:rPr>
          <w:strike/>
          <w:sz w:val="20"/>
          <w:szCs w:val="20"/>
          <w:highlight w:val="yellow"/>
        </w:rPr>
        <w:t>§ 63.6   Compliance with standards and maintenance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Administrator (or a State with an approved permit program) has granted an extension of compliance consistent with paragraph (i) of this section;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President has granted an exemption from compliance with any relevant standard in accordance with section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Compliance dates for new and reconstructed sources. </w:t>
      </w:r>
      <w:r w:rsidRPr="006D4EE5">
        <w:rPr>
          <w:rFonts w:ascii="Times New Roman" w:hAnsi="Times New Roman" w:cs="Times New Roman"/>
          <w:strike/>
          <w:sz w:val="20"/>
          <w:szCs w:val="20"/>
          <w:highlight w:val="yellow"/>
        </w:rPr>
        <w:t>(1) Except as specified in paragraphs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as specified in paragraphs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complies with the standard as proposed during the 3-year period immediately after the effective date.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owner or operator of a new source that is subject to the compliance requirements of paragraph (b)(3) or (4) of this section must notify the Administrator in accordance with §63.9(d)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Compliance dates for existing sources. </w:t>
      </w:r>
      <w:r w:rsidRPr="006D4EE5">
        <w:rPr>
          <w:rFonts w:ascii="Times New Roman" w:hAnsi="Times New Roman" w:cs="Times New Roman"/>
          <w:strike/>
          <w:sz w:val="20"/>
          <w:szCs w:val="20"/>
          <w:highlight w:val="yellow"/>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4)(ii) of this section, whichever is later.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Except as provided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Operation and maintenance requirements. </w:t>
      </w:r>
      <w:r w:rsidRPr="006D4EE5">
        <w:rPr>
          <w:rFonts w:ascii="Times New Roman" w:hAnsi="Times New Roman" w:cs="Times New Roman"/>
          <w:strike/>
          <w:sz w:val="20"/>
          <w:szCs w:val="20"/>
          <w:highlight w:val="yellow"/>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review of operation and maintenance records, and inspection of the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Operation and maintenance requirements established pursuant to section 112 of the Act are enforceable independent of emissions limitations or other requirements in relevant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Startup, shutdown, and malfunction plan. </w:t>
      </w:r>
      <w:r w:rsidRPr="006D4EE5">
        <w:rPr>
          <w:rFonts w:ascii="Times New Roman" w:hAnsi="Times New Roman" w:cs="Times New Roman"/>
          <w:strike/>
          <w:sz w:val="20"/>
          <w:szCs w:val="20"/>
          <w:highlight w:val="yellow"/>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Ensure that owners or operators are prepared to correct malfunctions as soon as practicable after their occurrence in order to minimize excess emissions of hazardous air pollutants;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Reduce the reporting burden associated with periods of startup, shutdown, and malfunction (including corrective action taken to restore malfunctioning process and air pollution control equipment to its normal or usual manner of operation).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w:t>
      </w:r>
      <w:r w:rsidRPr="006D4EE5">
        <w:rPr>
          <w:rFonts w:ascii="Times New Roman" w:hAnsi="Times New Roman" w:cs="Times New Roman"/>
          <w:strike/>
          <w:sz w:val="20"/>
          <w:szCs w:val="20"/>
          <w:highlight w:val="yellow"/>
        </w:rPr>
        <w:lastRenderedPageBreak/>
        <w:t>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Does not address a startup, shutdown, or malfunction event that has occurred;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Does not provide adequate procedures for correcting malfunctioning process and/or air pollution control and monitoring equipment as quickly as practicable;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Includes an event that does not meet the definition of startup, shutdown, or malfunction listed in §63.2.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w:t>
      </w:r>
      <w:r w:rsidRPr="006D4EE5">
        <w:rPr>
          <w:rFonts w:ascii="Times New Roman" w:hAnsi="Times New Roman" w:cs="Times New Roman"/>
          <w:strike/>
          <w:sz w:val="20"/>
          <w:szCs w:val="20"/>
          <w:highlight w:val="yellow"/>
        </w:rPr>
        <w:lastRenderedPageBreak/>
        <w:t>of this chapter. Moreover, none of the procedures specified by the startup, shutdown, and malfunction plan for an affected source shall be deemed to fall within the permit shield provision in section 504(f)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(f) </w:t>
      </w:r>
      <w:r w:rsidRPr="006D4EE5">
        <w:rPr>
          <w:rFonts w:ascii="Times New Roman" w:hAnsi="Times New Roman" w:cs="Times New Roman"/>
          <w:i/>
          <w:iCs/>
          <w:strike/>
          <w:sz w:val="20"/>
          <w:szCs w:val="20"/>
          <w:highlight w:val="yellow"/>
        </w:rPr>
        <w:t xml:space="preserve">Compliance with nonopacity emission standards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Methods for determining compliance. </w:t>
      </w:r>
      <w:r w:rsidRPr="006D4EE5">
        <w:rPr>
          <w:rFonts w:ascii="Times New Roman" w:hAnsi="Times New Roman" w:cs="Times New Roman"/>
          <w:strike/>
          <w:sz w:val="20"/>
          <w:szCs w:val="20"/>
          <w:highlight w:val="yellow"/>
        </w:rPr>
        <w:t>(i) The Administrator will determine compliance with nonopacity emission standards in this part based on the results of performance tests conducted according to the procedures in §63.7, unless otherwise specified in an applicable subpart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an affected source conducts performance testing at startup to obtain an operating permit in the State in which the source is located, the results of such testing may be used to demonstrate compliance with a relevant standard if—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performance test was conducted within a reasonable amount of time before an initial performance test is required to be conducted under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performance test was conducted under representative operating conditions for the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performance test was conducted and the resulting data were reduced using EPA-approved test methods and procedures, as specified in §63.7(e) of this subpart;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performance test was appropriately quality-assured, as specified in §63.7(c).</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The</w:t>
      </w:r>
      <w:proofErr w:type="gramEnd"/>
      <w:r w:rsidRPr="006D4EE5">
        <w:rPr>
          <w:rFonts w:ascii="Times New Roman" w:hAnsi="Times New Roman" w:cs="Times New Roman"/>
          <w:strike/>
          <w:sz w:val="20"/>
          <w:szCs w:val="20"/>
          <w:highlight w:val="yellow"/>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Finding of compliance. </w:t>
      </w:r>
      <w:r w:rsidRPr="006D4EE5">
        <w:rPr>
          <w:rFonts w:ascii="Times New Roman" w:hAnsi="Times New Roman" w:cs="Times New Roman"/>
          <w:strike/>
          <w:sz w:val="20"/>
          <w:szCs w:val="20"/>
          <w:highlight w:val="yellow"/>
        </w:rPr>
        <w:t>The Administrator will make a finding concerning an affected source's compliance with a non-opacity emission standard, as specified in paragraphs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w:t>
      </w:r>
      <w:r w:rsidRPr="006D4EE5">
        <w:rPr>
          <w:rFonts w:ascii="Times New Roman" w:hAnsi="Times New Roman" w:cs="Times New Roman"/>
          <w:i/>
          <w:iCs/>
          <w:strike/>
          <w:sz w:val="20"/>
          <w:szCs w:val="20"/>
          <w:highlight w:val="yellow"/>
        </w:rPr>
        <w:t xml:space="preserve">Use of an alternative nonopacity emission standard. </w:t>
      </w:r>
      <w:r w:rsidRPr="006D4EE5">
        <w:rPr>
          <w:rFonts w:ascii="Times New Roman" w:hAnsi="Times New Roman" w:cs="Times New Roman"/>
          <w:strike/>
          <w:sz w:val="20"/>
          <w:szCs w:val="20"/>
          <w:highlight w:val="yellow"/>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Registera</w:t>
      </w:r>
      <w:proofErr w:type="spellEnd"/>
      <w:r w:rsidRPr="006D4EE5">
        <w:rPr>
          <w:rFonts w:ascii="Times New Roman" w:hAnsi="Times New Roman" w:cs="Times New Roman"/>
          <w:strike/>
          <w:sz w:val="20"/>
          <w:szCs w:val="20"/>
          <w:highlight w:val="yellow"/>
        </w:rPr>
        <w:t xml:space="preserve"> notice permitting the use of the alternative emission standard for purposes of compliance with the promulgated standard. </w:t>
      </w:r>
      <w:proofErr w:type="spellStart"/>
      <w:r w:rsidRPr="006D4EE5">
        <w:rPr>
          <w:rFonts w:ascii="Times New Roman" w:hAnsi="Times New Roman" w:cs="Times New Roman"/>
          <w:strike/>
          <w:sz w:val="20"/>
          <w:szCs w:val="20"/>
          <w:highlight w:val="yellow"/>
        </w:rPr>
        <w:t>AnyFederal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Registernotice</w:t>
      </w:r>
      <w:proofErr w:type="spellEnd"/>
      <w:r w:rsidRPr="006D4EE5">
        <w:rPr>
          <w:rFonts w:ascii="Times New Roman" w:hAnsi="Times New Roman" w:cs="Times New Roman"/>
          <w:strike/>
          <w:sz w:val="20"/>
          <w:szCs w:val="20"/>
          <w:highlight w:val="yellow"/>
        </w:rPr>
        <w:t xml:space="preserve"> under this paragraph shall be published only after the public is notified and given the opportunity to comment. Such notice will restrict the permission to the stationary source(s) or </w:t>
      </w:r>
      <w:proofErr w:type="gramStart"/>
      <w:r w:rsidRPr="006D4EE5">
        <w:rPr>
          <w:rFonts w:ascii="Times New Roman" w:hAnsi="Times New Roman" w:cs="Times New Roman"/>
          <w:strike/>
          <w:sz w:val="20"/>
          <w:szCs w:val="20"/>
          <w:highlight w:val="yellow"/>
        </w:rPr>
        <w:t>category(</w:t>
      </w:r>
      <w:proofErr w:type="spellStart"/>
      <w:proofErr w:type="gramEnd"/>
      <w:r w:rsidRPr="006D4EE5">
        <w:rPr>
          <w:rFonts w:ascii="Times New Roman" w:hAnsi="Times New Roman" w:cs="Times New Roman"/>
          <w:strike/>
          <w:sz w:val="20"/>
          <w:szCs w:val="20"/>
          <w:highlight w:val="yellow"/>
        </w:rPr>
        <w:t>ies</w:t>
      </w:r>
      <w:proofErr w:type="spellEnd"/>
      <w:r w:rsidRPr="006D4EE5">
        <w:rPr>
          <w:rFonts w:ascii="Times New Roman" w:hAnsi="Times New Roman" w:cs="Times New Roman"/>
          <w:strike/>
          <w:sz w:val="20"/>
          <w:szCs w:val="20"/>
          <w:highlight w:val="yellow"/>
        </w:rPr>
        <w:t xml:space="preserve">) of sources from which the alternative emission standard will achieve equivalent emission reductions. The Administrator will condition permission in such notice on requirements to assure the proper </w:t>
      </w:r>
      <w:r w:rsidRPr="006D4EE5">
        <w:rPr>
          <w:rFonts w:ascii="Times New Roman" w:hAnsi="Times New Roman" w:cs="Times New Roman"/>
          <w:strike/>
          <w:sz w:val="20"/>
          <w:szCs w:val="20"/>
          <w:highlight w:val="yellow"/>
        </w:rPr>
        <w:lastRenderedPageBreak/>
        <w:t xml:space="preserve">operation and maintenance of equipment and practices required for compliance with the alternative emission standard and other requirements, including appropriate quality assurance and quality control </w:t>
      </w:r>
      <w:proofErr w:type="gramStart"/>
      <w:r w:rsidRPr="006D4EE5">
        <w:rPr>
          <w:rFonts w:ascii="Times New Roman" w:hAnsi="Times New Roman" w:cs="Times New Roman"/>
          <w:strike/>
          <w:sz w:val="20"/>
          <w:szCs w:val="20"/>
          <w:highlight w:val="yellow"/>
        </w:rPr>
        <w:t>requirements, that</w:t>
      </w:r>
      <w:proofErr w:type="gramEnd"/>
      <w:r w:rsidRPr="006D4EE5">
        <w:rPr>
          <w:rFonts w:ascii="Times New Roman" w:hAnsi="Times New Roman" w:cs="Times New Roman"/>
          <w:strike/>
          <w:sz w:val="20"/>
          <w:szCs w:val="20"/>
          <w:highlight w:val="yellow"/>
        </w:rPr>
        <w:t xml:space="preserve"> are deemed necessary.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Administrator may establish general procedures in an applicable subpart that accomplish the requirements of paragraphs (g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(g)(2)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h</w:t>
      </w:r>
      <w:proofErr w:type="gramEnd"/>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Compliance with opacity and visible emission standards </w:t>
      </w: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Methods for determining compliance. </w:t>
      </w:r>
      <w:r w:rsidRPr="006D4EE5">
        <w:rPr>
          <w:rFonts w:ascii="Times New Roman" w:hAnsi="Times New Roman" w:cs="Times New Roman"/>
          <w:strike/>
          <w:sz w:val="20"/>
          <w:szCs w:val="20"/>
          <w:highlight w:val="yellow"/>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an affected source undergoes opacity or visible emission testing at startup to obtain an operating permit in the State in which the source is located, the results of such testing may be used to demonstrate compliance with a relevant standard if—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opacity or visible emission test was conducted within a reasonable amount of time before a performance test is required to be conducted under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opacity or visible emission test was conducted under representative operating conditions for the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opacity or visible emission test was conducted and the resulting data were reduced using EPA-approved test methods and procedures, as specified in §63.7(e);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opacity or visible emission test was appropriately quality-assured, as specified in §63.7(c)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Notification of opacity or visible emission observations. </w:t>
      </w:r>
      <w:r w:rsidRPr="006D4EE5">
        <w:rPr>
          <w:rFonts w:ascii="Times New Roman" w:hAnsi="Times New Roman" w:cs="Times New Roman"/>
          <w:strike/>
          <w:sz w:val="20"/>
          <w:szCs w:val="20"/>
          <w:highlight w:val="yellow"/>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w:t>
      </w:r>
      <w:r w:rsidRPr="006D4EE5">
        <w:rPr>
          <w:rFonts w:ascii="Times New Roman" w:hAnsi="Times New Roman" w:cs="Times New Roman"/>
          <w:i/>
          <w:iCs/>
          <w:strike/>
          <w:sz w:val="20"/>
          <w:szCs w:val="20"/>
          <w:highlight w:val="yellow"/>
        </w:rPr>
        <w:t xml:space="preserve">Conduct of opacity or visible emission observations. </w:t>
      </w:r>
      <w:r w:rsidRPr="006D4EE5">
        <w:rPr>
          <w:rFonts w:ascii="Times New Roman" w:hAnsi="Times New Roman" w:cs="Times New Roman"/>
          <w:strike/>
          <w:sz w:val="20"/>
          <w:szCs w:val="20"/>
          <w:highlight w:val="yellow"/>
        </w:rPr>
        <w:t>When a relevant standard under this part includes an opacity or visible emission standard, the owner or operator of an affected source shall comply with the following: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 For the purpose of demonstrating initial compliance, opacity or visible emission observations shall be conducted concurrently with the initial performance test required in §63.7 unless one of the following conditions applies: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Opacity readings of portions of plumes that contain condensed, uncombined water vapor shall not be used for purposes of determining compliance with opacity emission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w:t>
      </w:r>
      <w:r w:rsidRPr="006D4EE5">
        <w:rPr>
          <w:rFonts w:ascii="Times New Roman" w:hAnsi="Times New Roman" w:cs="Times New Roman"/>
          <w:i/>
          <w:iCs/>
          <w:strike/>
          <w:sz w:val="20"/>
          <w:szCs w:val="20"/>
          <w:highlight w:val="yellow"/>
        </w:rPr>
        <w:t xml:space="preserve">Availability of records. </w:t>
      </w:r>
      <w:r w:rsidRPr="006D4EE5">
        <w:rPr>
          <w:rFonts w:ascii="Times New Roman" w:hAnsi="Times New Roman" w:cs="Times New Roman"/>
          <w:strike/>
          <w:sz w:val="20"/>
          <w:szCs w:val="20"/>
          <w:highlight w:val="yellow"/>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(7) </w:t>
      </w:r>
      <w:r w:rsidRPr="006D4EE5">
        <w:rPr>
          <w:rFonts w:ascii="Times New Roman" w:hAnsi="Times New Roman" w:cs="Times New Roman"/>
          <w:i/>
          <w:iCs/>
          <w:strike/>
          <w:sz w:val="20"/>
          <w:szCs w:val="20"/>
          <w:highlight w:val="yellow"/>
        </w:rPr>
        <w:t xml:space="preserve">Use of a continuous opacity monitoring system. </w:t>
      </w:r>
      <w:r w:rsidRPr="006D4EE5">
        <w:rPr>
          <w:rFonts w:ascii="Times New Roman" w:hAnsi="Times New Roman" w:cs="Times New Roman"/>
          <w:strike/>
          <w:sz w:val="20"/>
          <w:szCs w:val="20"/>
          <w:highlight w:val="yellow"/>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For the purposes of determining compliance with the opacity emission standard during a performance test required under §63.7 using COMS data, the COMS data shall be reduced to 6-minute averages over the duration of the mass emission performance test.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(8) </w:t>
      </w:r>
      <w:r w:rsidRPr="006D4EE5">
        <w:rPr>
          <w:rFonts w:ascii="Times New Roman" w:hAnsi="Times New Roman" w:cs="Times New Roman"/>
          <w:i/>
          <w:iCs/>
          <w:strike/>
          <w:sz w:val="20"/>
          <w:szCs w:val="20"/>
          <w:highlight w:val="yellow"/>
        </w:rPr>
        <w:t xml:space="preserve">Finding of compliance. </w:t>
      </w:r>
      <w:r w:rsidRPr="006D4EE5">
        <w:rPr>
          <w:rFonts w:ascii="Times New Roman" w:hAnsi="Times New Roman" w:cs="Times New Roman"/>
          <w:strike/>
          <w:sz w:val="20"/>
          <w:szCs w:val="20"/>
          <w:highlight w:val="yellow"/>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(9) </w:t>
      </w:r>
      <w:r w:rsidRPr="006D4EE5">
        <w:rPr>
          <w:rFonts w:ascii="Times New Roman" w:hAnsi="Times New Roman" w:cs="Times New Roman"/>
          <w:i/>
          <w:iCs/>
          <w:strike/>
          <w:sz w:val="20"/>
          <w:szCs w:val="20"/>
          <w:highlight w:val="yellow"/>
        </w:rPr>
        <w:t xml:space="preserve">Adjustment to an opacity emission standard. </w:t>
      </w:r>
      <w:r w:rsidRPr="006D4EE5">
        <w:rPr>
          <w:rFonts w:ascii="Times New Roman" w:hAnsi="Times New Roman" w:cs="Times New Roman"/>
          <w:strike/>
          <w:sz w:val="20"/>
          <w:szCs w:val="20"/>
          <w:highlight w:val="yellow"/>
        </w:rPr>
        <w:t>(i) If the Administrator finds under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Administrator may grant such a petition upon a demonstration by the owner or operator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affected source and its associated air pollution control equipment were operated and maintained in a manner to minimize the opacity of emissions during the performance tests;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performance tests were performed under the conditions established by the Administrator;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affected source and its associated air pollution control equipment were incapable of being adjusted or operated to meet the relevant opacity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Register.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After</w:t>
      </w:r>
      <w:proofErr w:type="gramEnd"/>
      <w:r w:rsidRPr="006D4EE5">
        <w:rPr>
          <w:rFonts w:ascii="Times New Roman" w:hAnsi="Times New Roman" w:cs="Times New Roman"/>
          <w:strike/>
          <w:sz w:val="20"/>
          <w:szCs w:val="20"/>
          <w:highlight w:val="yellow"/>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w:t>
      </w:r>
      <w:r w:rsidRPr="006D4EE5">
        <w:rPr>
          <w:rFonts w:ascii="Times New Roman" w:hAnsi="Times New Roman" w:cs="Times New Roman"/>
          <w:i/>
          <w:iCs/>
          <w:strike/>
          <w:sz w:val="20"/>
          <w:szCs w:val="20"/>
          <w:highlight w:val="yellow"/>
        </w:rPr>
        <w:t xml:space="preserve">Extension of compliance with emission standards. </w:t>
      </w:r>
      <w:r w:rsidRPr="006D4EE5">
        <w:rPr>
          <w:rFonts w:ascii="Times New Roman" w:hAnsi="Times New Roman" w:cs="Times New Roman"/>
          <w:strike/>
          <w:sz w:val="20"/>
          <w:szCs w:val="20"/>
          <w:highlight w:val="yellow"/>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Extension of compliance for early reductions and other reductions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i) </w:t>
      </w:r>
      <w:r w:rsidRPr="006D4EE5">
        <w:rPr>
          <w:rFonts w:ascii="Times New Roman" w:hAnsi="Times New Roman" w:cs="Times New Roman"/>
          <w:i/>
          <w:iCs/>
          <w:strike/>
          <w:sz w:val="20"/>
          <w:szCs w:val="20"/>
          <w:highlight w:val="yellow"/>
        </w:rPr>
        <w:t xml:space="preserve">Early reductions. </w:t>
      </w:r>
      <w:r w:rsidRPr="006D4EE5">
        <w:rPr>
          <w:rFonts w:ascii="Times New Roman" w:hAnsi="Times New Roman" w:cs="Times New Roman"/>
          <w:strike/>
          <w:sz w:val="20"/>
          <w:szCs w:val="20"/>
          <w:highlight w:val="yellow"/>
        </w:rPr>
        <w:t>Pursuant to section 112(i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(ii) </w:t>
      </w:r>
      <w:r w:rsidRPr="006D4EE5">
        <w:rPr>
          <w:rFonts w:ascii="Times New Roman" w:hAnsi="Times New Roman" w:cs="Times New Roman"/>
          <w:i/>
          <w:iCs/>
          <w:strike/>
          <w:sz w:val="20"/>
          <w:szCs w:val="20"/>
          <w:highlight w:val="yellow"/>
        </w:rPr>
        <w:t xml:space="preserve">Other reductions. </w:t>
      </w:r>
      <w:r w:rsidRPr="006D4EE5">
        <w:rPr>
          <w:rFonts w:ascii="Times New Roman" w:hAnsi="Times New Roman" w:cs="Times New Roman"/>
          <w:strike/>
          <w:sz w:val="20"/>
          <w:szCs w:val="20"/>
          <w:highlight w:val="yellow"/>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Request for extension of compliance. </w:t>
      </w:r>
      <w:r w:rsidRPr="006D4EE5">
        <w:rPr>
          <w:rFonts w:ascii="Times New Roman" w:hAnsi="Times New Roman" w:cs="Times New Roman"/>
          <w:strike/>
          <w:sz w:val="20"/>
          <w:szCs w:val="20"/>
          <w:highlight w:val="yellow"/>
        </w:rPr>
        <w:t>Paragraphs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owner or operator of an existing source that has installed BACT or technology required to meet LAER [as specified in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w:t>
      </w:r>
      <w:r w:rsidRPr="006D4EE5">
        <w:rPr>
          <w:rFonts w:ascii="Times New Roman" w:hAnsi="Times New Roman" w:cs="Times New Roman"/>
          <w:strike/>
          <w:sz w:val="20"/>
          <w:szCs w:val="20"/>
          <w:highlight w:val="yellow"/>
        </w:rPr>
        <w:lastRenderedPageBreak/>
        <w:t>to meet LAER controls the same pollutant (or stream of pollutants) that would be controlled at that source by the relevant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(6)(i) The request for a compliance extension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this section shall include the following information: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 description of the controls to be installed to comply with the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 compliance schedule, including the date by which each step toward compliance will be reached. At a minimum, the list of dates shall include: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1</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The date by which on-site construction, installation of emission control equipment, or a process change is planned to be initiated; and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2</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The date by which final compliance is to be achieved.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3</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The date by which on-site construction, installation of emission control equipment, or a process change is to be completed; and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4</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The date by which final compliance is to be achieved;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Advice on requesting an extension of compliance may be obtained from the Administrator (or the State with an approved permit program).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(8) </w:t>
      </w:r>
      <w:r w:rsidRPr="006D4EE5">
        <w:rPr>
          <w:rFonts w:ascii="Times New Roman" w:hAnsi="Times New Roman" w:cs="Times New Roman"/>
          <w:i/>
          <w:iCs/>
          <w:strike/>
          <w:sz w:val="20"/>
          <w:szCs w:val="20"/>
          <w:highlight w:val="yellow"/>
        </w:rPr>
        <w:t xml:space="preserve">Approval of request for extension of compliance. </w:t>
      </w:r>
      <w:r w:rsidRPr="006D4EE5">
        <w:rPr>
          <w:rFonts w:ascii="Times New Roman" w:hAnsi="Times New Roman" w:cs="Times New Roman"/>
          <w:strike/>
          <w:sz w:val="20"/>
          <w:szCs w:val="20"/>
          <w:highlight w:val="yellow"/>
        </w:rPr>
        <w:t>Paragraphs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9) through (i)(14) of this section concern approval of an extension of compliance requested under paragraphs (i)(4) through (i)(6)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(10) The extension will be in writing and will—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 Identify each affected source covered by the extension;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Specify the termination date of the extension;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Specify the dates by which steps toward compliance are to be taken, if appropriate;</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Specify</w:t>
      </w:r>
      <w:proofErr w:type="gramEnd"/>
      <w:r w:rsidRPr="006D4EE5">
        <w:rPr>
          <w:rFonts w:ascii="Times New Roman" w:hAnsi="Times New Roman" w:cs="Times New Roman"/>
          <w:strike/>
          <w:sz w:val="20"/>
          <w:szCs w:val="20"/>
          <w:highlight w:val="yellow"/>
        </w:rPr>
        <w:t xml:space="preserve"> other applicable requirements to which the compliance extension applies (e.g., performance tests);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(v)(A)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specify any additional conditions that the Administrator (or the State) deems necessary to assure installation of the necessary controls and protection of the health of persons during the extension period;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specify any additional conditions that the Administrator deems necessary to assure the proper operation and maintenance of the installed controls during the extension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10)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Before denying any request for an extension of compliance, the Administrator (or the State with an approved permit program) will notify the owner or operator in writing of the Administrator's (or the State's) intention to issue the denial, together with—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Notice of the information and findings on which the intended denial is based;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Notice of opportunity for the owner or operator to present in writing, within 15 calendar days after he/she is notified of the intended denial, additional information or arguments to the Administrator (or the State) before further action on the request.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The</w:t>
      </w:r>
      <w:proofErr w:type="gramEnd"/>
      <w:r w:rsidRPr="006D4EE5">
        <w:rPr>
          <w:rFonts w:ascii="Times New Roman" w:hAnsi="Times New Roman" w:cs="Times New Roman"/>
          <w:strike/>
          <w:sz w:val="20"/>
          <w:szCs w:val="20"/>
          <w:highlight w:val="yellow"/>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Before denying any request for an extension of compliance, the Administrator will notify the owner or operator in writing of the Administrator's intention to issue the denial, together with—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Notice of the information and findings on which the intended denial is based;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Notice of opportunity for the owner or operator to present in writing, within 15 calendar days after he/she is notified of the intended denial, additional information or arguments to the Administrator before further action on the request.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lastRenderedPageBreak/>
        <w:t>(iv) A</w:t>
      </w:r>
      <w:proofErr w:type="gramEnd"/>
      <w:r w:rsidRPr="006D4EE5">
        <w:rPr>
          <w:rFonts w:ascii="Times New Roman" w:hAnsi="Times New Roman" w:cs="Times New Roman"/>
          <w:strike/>
          <w:sz w:val="20"/>
          <w:szCs w:val="20"/>
          <w:highlight w:val="yellow"/>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(14) The Administrator (or the State with an approved permit program) may terminate an extension of compliance at an earlier date than specified if any specification under paragraph (i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10)(iii) or (iv) of this section is not met. Upon a determination to terminate, the Administrator will notify, in writing, the owner or operator of the Administrator's determination to terminate, together with: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Notice of the reason for termination;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(15)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(16) The granting of an extension under this section shall not abrogate the Administrator's authority under section 114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(j) </w:t>
      </w:r>
      <w:r w:rsidRPr="006D4EE5">
        <w:rPr>
          <w:rFonts w:ascii="Times New Roman" w:hAnsi="Times New Roman" w:cs="Times New Roman"/>
          <w:i/>
          <w:iCs/>
          <w:strike/>
          <w:sz w:val="20"/>
          <w:szCs w:val="20"/>
          <w:highlight w:val="yellow"/>
        </w:rPr>
        <w:t xml:space="preserve">Exemption from compliance with emission standards. </w:t>
      </w:r>
      <w:r w:rsidRPr="006D4EE5">
        <w:rPr>
          <w:rFonts w:ascii="Times New Roman" w:hAnsi="Times New Roman" w:cs="Times New Roman"/>
          <w:strike/>
          <w:sz w:val="20"/>
          <w:szCs w:val="20"/>
          <w:highlight w:val="yellow"/>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67 FR 16599, Apr. 5, 2002; 68 FR 32600, May 30, 2003; 71 FR 20454, Apr. 20, 2006]</w:t>
      </w:r>
    </w:p>
    <w:p w:rsidR="00EB7550" w:rsidRPr="006D4EE5" w:rsidRDefault="00EB7550" w:rsidP="00EB7550">
      <w:pPr>
        <w:pStyle w:val="Heading5"/>
        <w:jc w:val="both"/>
        <w:rPr>
          <w:strike/>
          <w:sz w:val="20"/>
          <w:szCs w:val="20"/>
          <w:highlight w:val="yellow"/>
        </w:rPr>
      </w:pPr>
      <w:r w:rsidRPr="006D4EE5">
        <w:rPr>
          <w:strike/>
          <w:sz w:val="20"/>
          <w:szCs w:val="20"/>
          <w:highlight w:val="yellow"/>
        </w:rPr>
        <w:t>§ 63.7   Performance testing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and performance test dates. </w:t>
      </w:r>
      <w:r w:rsidRPr="006D4EE5">
        <w:rPr>
          <w:rFonts w:ascii="Times New Roman" w:hAnsi="Times New Roman" w:cs="Times New Roman"/>
          <w:strike/>
          <w:sz w:val="20"/>
          <w:szCs w:val="20"/>
          <w:highlight w:val="yellow"/>
        </w:rPr>
        <w:t>(1) The applicability of this section is set out in §63.1(a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Except as provided in paragraph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viii)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 The Administrator may require an owner or operator to conduct performance tests at the affected source at any other time when the action is authorized by section 114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If a force majeure is about to occur, occurs, or has occurred for which the affected owner or operator intends to assert a claim of force majeure: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Until an extension of the performance test deadline has been approved by the Administrator under paragraphs (a)(4)(i), (a)(4)(ii), and (a)(4)(iii) of this section, the owner or operator of the affected facility remains strictly subject to the requirements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Notification of performance test. </w:t>
      </w:r>
      <w:r w:rsidRPr="006D4EE5">
        <w:rPr>
          <w:rFonts w:ascii="Times New Roman" w:hAnsi="Times New Roman" w:cs="Times New Roman"/>
          <w:strike/>
          <w:sz w:val="20"/>
          <w:szCs w:val="20"/>
          <w:highlight w:val="yellow"/>
        </w:rPr>
        <w:t xml:space="preserve">(1)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6D4EE5">
        <w:rPr>
          <w:rFonts w:ascii="Times New Roman" w:hAnsi="Times New Roman" w:cs="Times New Roman"/>
          <w:strike/>
          <w:sz w:val="20"/>
          <w:szCs w:val="20"/>
          <w:highlight w:val="yellow"/>
        </w:rPr>
        <w:t>an</w:t>
      </w:r>
      <w:proofErr w:type="spellEnd"/>
      <w:r w:rsidRPr="006D4EE5">
        <w:rPr>
          <w:rFonts w:ascii="Times New Roman" w:hAnsi="Times New Roman" w:cs="Times New Roman"/>
          <w:strike/>
          <w:sz w:val="20"/>
          <w:szCs w:val="20"/>
          <w:highlight w:val="yellow"/>
        </w:rPr>
        <w:t xml:space="preserve"> approve the site-specific test plan required under paragraph (c) of this section and to have an observer present during the test.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In the event the owner or operator is unable to conduct the performance test on the date specified in the notification requirement specified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Quality assurance program. </w:t>
      </w:r>
      <w:r w:rsidRPr="006D4EE5">
        <w:rPr>
          <w:rFonts w:ascii="Times New Roman" w:hAnsi="Times New Roman" w:cs="Times New Roman"/>
          <w:strike/>
          <w:sz w:val="20"/>
          <w:szCs w:val="20"/>
          <w:highlight w:val="yellow"/>
        </w:rPr>
        <w:t>(1) The results of the quality assurance program required in this paragraph will be considered by the Administrator when he/she determines the validity of a performance test.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(2)(i) </w:t>
      </w:r>
      <w:r w:rsidRPr="006D4EE5">
        <w:rPr>
          <w:rFonts w:ascii="Times New Roman" w:hAnsi="Times New Roman" w:cs="Times New Roman"/>
          <w:i/>
          <w:iCs/>
          <w:strike/>
          <w:sz w:val="20"/>
          <w:szCs w:val="20"/>
          <w:highlight w:val="yellow"/>
        </w:rPr>
        <w:t xml:space="preserve">Submission of site-specific test plan. </w:t>
      </w:r>
      <w:r w:rsidRPr="006D4EE5">
        <w:rPr>
          <w:rFonts w:ascii="Times New Roman" w:hAnsi="Times New Roman" w:cs="Times New Roman"/>
          <w:strike/>
          <w:sz w:val="20"/>
          <w:szCs w:val="20"/>
          <w:highlight w:val="yellow"/>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internal QA program shall include, at a minimum, the activities planned by routine operators and analysts to provide an assessment of test data precision; an example of internal QA is the sampling and analysis of replicate samples.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t>
      </w:r>
      <w:r w:rsidRPr="006D4EE5">
        <w:rPr>
          <w:rFonts w:ascii="Times New Roman" w:hAnsi="Times New Roman" w:cs="Times New Roman"/>
          <w:strike/>
          <w:sz w:val="20"/>
          <w:szCs w:val="20"/>
          <w:highlight w:val="yellow"/>
        </w:rPr>
        <w:lastRenderedPageBreak/>
        <w:t>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D4EE5">
        <w:rPr>
          <w:rFonts w:ascii="Times New Roman" w:hAnsi="Times New Roman" w:cs="Times New Roman"/>
          <w:i/>
          <w:iCs/>
          <w:strike/>
          <w:sz w:val="20"/>
          <w:szCs w:val="20"/>
          <w:highlight w:val="yellow"/>
        </w:rPr>
        <w:t xml:space="preserve">http://www.epa.gov/ttn/emc, </w:t>
      </w:r>
      <w:r w:rsidRPr="006D4EE5">
        <w:rPr>
          <w:rFonts w:ascii="Times New Roman" w:hAnsi="Times New Roman" w:cs="Times New Roman"/>
          <w:strike/>
          <w:sz w:val="20"/>
          <w:szCs w:val="20"/>
          <w:highlight w:val="yellow"/>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Preparing the sample;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(2) </w:t>
      </w:r>
      <w:r w:rsidRPr="006D4EE5">
        <w:rPr>
          <w:rFonts w:ascii="Times New Roman" w:hAnsi="Times New Roman" w:cs="Times New Roman"/>
          <w:strike/>
          <w:sz w:val="20"/>
          <w:szCs w:val="20"/>
          <w:highlight w:val="yellow"/>
        </w:rPr>
        <w:t>Confirming the true concentration of the sample;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(3) </w:t>
      </w:r>
      <w:r w:rsidRPr="006D4EE5">
        <w:rPr>
          <w:rFonts w:ascii="Times New Roman" w:hAnsi="Times New Roman" w:cs="Times New Roman"/>
          <w:strike/>
          <w:sz w:val="20"/>
          <w:szCs w:val="20"/>
          <w:highlight w:val="yellow"/>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(4) </w:t>
      </w:r>
      <w:r w:rsidRPr="006D4EE5">
        <w:rPr>
          <w:rFonts w:ascii="Times New Roman" w:hAnsi="Times New Roman" w:cs="Times New Roman"/>
          <w:strike/>
          <w:sz w:val="20"/>
          <w:szCs w:val="20"/>
          <w:highlight w:val="yellow"/>
        </w:rPr>
        <w:t>Providing the opportunity for the compliance authority to comment on the selected concentration level for an audit sample;</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5</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Distributing the sample to the user in a manner that guarantees that the true value of the sample is unknown to the user;</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6</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Recording the measured concentration reported by the user and determining if the measured value is within acceptable limits;</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7</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8</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Evaluating the acceptance limits of samples at least once every two years to determine in consultation with the voluntary consensus standard body if they should be changed.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9 </w:t>
      </w:r>
      <w:r w:rsidRPr="006D4EE5">
        <w:rPr>
          <w:rFonts w:ascii="Times New Roman" w:hAnsi="Times New Roman" w:cs="Times New Roman"/>
          <w:strike/>
          <w:sz w:val="20"/>
          <w:szCs w:val="20"/>
          <w:highlight w:val="yellow"/>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1</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Checking audit samples to confirm their true value as reported by the AASP.</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2</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Performing technical systems audits of the AASP's facilities and operating procedures at least once every two years.</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3</w:t>
      </w:r>
      <w:proofErr w:type="gramEnd"/>
      <w:r w:rsidRPr="006D4EE5">
        <w:rPr>
          <w:rFonts w:ascii="Times New Roman" w:hAnsi="Times New Roman" w:cs="Times New Roman"/>
          <w:i/>
          <w:iCs/>
          <w:strike/>
          <w:sz w:val="20"/>
          <w:szCs w:val="20"/>
          <w:highlight w:val="yellow"/>
        </w:rPr>
        <w:t xml:space="preserve"> </w:t>
      </w:r>
      <w:r w:rsidRPr="006D4EE5">
        <w:rPr>
          <w:rFonts w:ascii="Times New Roman" w:hAnsi="Times New Roman" w:cs="Times New Roman"/>
          <w:strike/>
          <w:sz w:val="20"/>
          <w:szCs w:val="20"/>
          <w:highlight w:val="yellow"/>
        </w:rPr>
        <w:t>) Providing standards for use by the voluntary consensus standard body to approve the accrediting body that will accredit the audit sample providers.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6D4EE5">
        <w:rPr>
          <w:rFonts w:ascii="Times New Roman" w:hAnsi="Times New Roman" w:cs="Times New Roman"/>
          <w:i/>
          <w:iCs/>
          <w:strike/>
          <w:sz w:val="20"/>
          <w:szCs w:val="20"/>
          <w:highlight w:val="yellow"/>
        </w:rPr>
        <w:t>Circular A–</w:t>
      </w:r>
      <w:proofErr w:type="gramStart"/>
      <w:r w:rsidRPr="006D4EE5">
        <w:rPr>
          <w:rFonts w:ascii="Times New Roman" w:hAnsi="Times New Roman" w:cs="Times New Roman"/>
          <w:i/>
          <w:iCs/>
          <w:strike/>
          <w:sz w:val="20"/>
          <w:szCs w:val="20"/>
          <w:highlight w:val="yellow"/>
        </w:rPr>
        <w:t xml:space="preserve">119 </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 A copy of Circular A–119 is available upon request by writing the Office of Information and Regulatory Affairs, Office of Management and Budget, 725 17th Street,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20503, by calling (202) 395–6880 or downloading online at </w:t>
      </w:r>
      <w:r w:rsidRPr="006D4EE5">
        <w:rPr>
          <w:rFonts w:ascii="Times New Roman" w:hAnsi="Times New Roman" w:cs="Times New Roman"/>
          <w:i/>
          <w:iCs/>
          <w:strike/>
          <w:sz w:val="20"/>
          <w:szCs w:val="20"/>
          <w:highlight w:val="yellow"/>
        </w:rPr>
        <w:t xml:space="preserve">http://standards.gov/standards_gov/a119.cfm </w:t>
      </w:r>
      <w:r w:rsidRPr="006D4EE5">
        <w:rPr>
          <w:rFonts w:ascii="Times New Roman" w:hAnsi="Times New Roman" w:cs="Times New Roman"/>
          <w:strike/>
          <w:sz w:val="20"/>
          <w:szCs w:val="20"/>
          <w:highlight w:val="yellow"/>
        </w:rPr>
        <w:t>. The VCSB shall approve all accrediting bodies. The Administrator will review all technical criteria documents. If the technical criteria documents do not meet the minimum technical requirements in paragraphs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4EE5">
        <w:rPr>
          <w:rFonts w:ascii="Times New Roman" w:hAnsi="Times New Roman" w:cs="Times New Roman"/>
          <w:i/>
          <w:iCs/>
          <w:strike/>
          <w:sz w:val="20"/>
          <w:szCs w:val="20"/>
          <w:highlight w:val="yellow"/>
        </w:rPr>
        <w:t>http://www.epa.gov/ttn/</w:t>
      </w:r>
      <w:proofErr w:type="gramStart"/>
      <w:r w:rsidRPr="006D4EE5">
        <w:rPr>
          <w:rFonts w:ascii="Times New Roman" w:hAnsi="Times New Roman" w:cs="Times New Roman"/>
          <w:i/>
          <w:iCs/>
          <w:strike/>
          <w:sz w:val="20"/>
          <w:szCs w:val="20"/>
          <w:highlight w:val="yellow"/>
        </w:rPr>
        <w:t xml:space="preserve">emc </w:t>
      </w:r>
      <w:r w:rsidRPr="006D4EE5">
        <w:rPr>
          <w:rFonts w:ascii="Times New Roman" w:hAnsi="Times New Roman" w:cs="Times New Roman"/>
          <w:strike/>
          <w:sz w:val="20"/>
          <w:szCs w:val="20"/>
          <w:highlight w:val="yellow"/>
        </w:rPr>
        <w:t>.</w:t>
      </w:r>
      <w:proofErr w:type="gramEnd"/>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Administrator may request additional relevant information after the submittal of a site-specific test plan.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Approval of site-specific test plan. </w:t>
      </w:r>
      <w:r w:rsidRPr="006D4EE5">
        <w:rPr>
          <w:rFonts w:ascii="Times New Roman" w:hAnsi="Times New Roman" w:cs="Times New Roman"/>
          <w:strike/>
          <w:sz w:val="20"/>
          <w:szCs w:val="20"/>
          <w:highlight w:val="yellow"/>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3)(i)(B) of this section. Before disapproving any site-specific test plan, the Administrator will notify the applicant of the Administrator's intention to disapprove the plan together with—</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Notice of the information and findings on which the intended disapproval is based;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Notice of opportunity for the owner or operator to present, within 30 calendar days after he/she is notified of the intended disapproval, additional information to the Administrator before final action on the plan.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In the event that the Administrator fails to approve or disapprove the site-specific test plan within the time period specified in paragraph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 of this section, the following conditions shall apply:</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Neither the submission of a site-specific test plan for approval, nor the Administrator's approval or disapproval of a plan, nor the Administrator's failure to approve or disapprove a plan in a timely manner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Relieve an owner or operator of legal responsibility for compliance with any applicable provisions of this part or with any other applicable Federal, State, or local requirement;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Prevent the Administrator from implementing or enforcing this part or taking any other action under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Performance testing facilities. </w:t>
      </w:r>
      <w:r w:rsidRPr="006D4EE5">
        <w:rPr>
          <w:rFonts w:ascii="Times New Roman" w:hAnsi="Times New Roman" w:cs="Times New Roman"/>
          <w:strike/>
          <w:sz w:val="20"/>
          <w:szCs w:val="20"/>
          <w:highlight w:val="yellow"/>
        </w:rPr>
        <w:t>If required to do performance testing, the owner or operator of each new source and, at the request of the Administrator, the owner or operator of each existing source, shall provide performance testing facilities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Sampling ports adequate for test methods applicable to such source. This includes: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Constructing the air pollution control system such that volumetric flow rates and pollutant emission rates can be accurately determined by applicable test methods and procedures;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Providing a stack or duct free of cyclonic flow during performance tests, as demonstrated by applicable test methods and procedures;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Safe sampling platform(s);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Safe access to sampling platform(s);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Utilities for sampling and testing equipment;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Any other facilities that the Administrator deems necessary for safe and adequate testing of a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Conduct of performance tests. </w:t>
      </w:r>
      <w:r w:rsidRPr="006D4EE5">
        <w:rPr>
          <w:rFonts w:ascii="Times New Roman" w:hAnsi="Times New Roman" w:cs="Times New Roman"/>
          <w:strike/>
          <w:sz w:val="20"/>
          <w:szCs w:val="20"/>
          <w:highlight w:val="yellow"/>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Specifies or approves, in specific cases, the use of a test method with minor changes in methodology (see definition in §63.90(a)). Such changes may be approved in conjunction with approval of the site-specific test plan (see paragraph (c) of this section);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Approves the use of an intermediate or major change or alternative to a test method (see definitions in §63.90(a)), the results of which the Administrator has determined to be adequate for indicating whether a specific affected source is in compliance;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Approves shorter sampling times or smaller sample volumes when necessitated by process variables or other factors;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iv</w:t>
      </w:r>
      <w:proofErr w:type="gramEnd"/>
      <w:r w:rsidRPr="006D4EE5">
        <w:rPr>
          <w:rFonts w:ascii="Times New Roman" w:hAnsi="Times New Roman" w:cs="Times New Roman"/>
          <w:strike/>
          <w:sz w:val="20"/>
          <w:szCs w:val="20"/>
          <w:highlight w:val="yellow"/>
        </w:rPr>
        <w:t>) Waives the requirement for performance tests because the owner or operator of an affected source has demonstrated by other means to the Administrator's satisfaction that the affected source is in compliance with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sample is accidentally lost after the testing team leaves the site;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Conditions occur in which one of the three runs must be discontinued because of forced shutdown;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Extreme meteorological conditions occur; or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Other</w:t>
      </w:r>
      <w:proofErr w:type="gramEnd"/>
      <w:r w:rsidRPr="006D4EE5">
        <w:rPr>
          <w:rFonts w:ascii="Times New Roman" w:hAnsi="Times New Roman" w:cs="Times New Roman"/>
          <w:strike/>
          <w:sz w:val="20"/>
          <w:szCs w:val="20"/>
          <w:highlight w:val="yellow"/>
        </w:rPr>
        <w:t xml:space="preserve"> circumstances occur that are beyond the owner or operator's control.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Nothing in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(e)(3) of this section shall be construed to abrogate the Administrator's authority to require testing under section 114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(f) </w:t>
      </w:r>
      <w:r w:rsidRPr="006D4EE5">
        <w:rPr>
          <w:rFonts w:ascii="Times New Roman" w:hAnsi="Times New Roman" w:cs="Times New Roman"/>
          <w:i/>
          <w:iCs/>
          <w:strike/>
          <w:sz w:val="20"/>
          <w:szCs w:val="20"/>
          <w:highlight w:val="yellow"/>
        </w:rPr>
        <w:t xml:space="preserve">Use of an alternative test method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General. </w:t>
      </w:r>
      <w:r w:rsidRPr="006D4EE5">
        <w:rPr>
          <w:rFonts w:ascii="Times New Roman" w:hAnsi="Times New Roman" w:cs="Times New Roman"/>
          <w:strike/>
          <w:sz w:val="20"/>
          <w:szCs w:val="20"/>
          <w:highlight w:val="yellow"/>
        </w:rPr>
        <w:t>Until authorized to use an intermediate or major change or alternative to a test method, the owner or operator of an affected source remains subject to the requirements of this section and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of an affected source required to do performance testing by a relevant standard may use an alternative test method from that specified in the standard provided that the owner or operator—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Notifies the Administrator of his or her intention to use an alternative test method at least 60 days before the performance test is scheduled to begin;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Uses Method 301 in appendix A of this part to validate the alternative test method. This may include the use of specific procedures of Method 301 if use of such procedures are sufficient to validate the alternative test method;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Submits the results of the Method 301 validation process along with </w:t>
      </w:r>
      <w:proofErr w:type="spellStart"/>
      <w:r w:rsidRPr="006D4EE5">
        <w:rPr>
          <w:rFonts w:ascii="Times New Roman" w:hAnsi="Times New Roman" w:cs="Times New Roman"/>
          <w:strike/>
          <w:sz w:val="20"/>
          <w:szCs w:val="20"/>
          <w:highlight w:val="yellow"/>
        </w:rPr>
        <w:t>thnotification</w:t>
      </w:r>
      <w:proofErr w:type="spellEnd"/>
      <w:r w:rsidRPr="006D4EE5">
        <w:rPr>
          <w:rFonts w:ascii="Times New Roman" w:hAnsi="Times New Roman" w:cs="Times New Roman"/>
          <w:strike/>
          <w:sz w:val="20"/>
          <w:szCs w:val="20"/>
          <w:highlight w:val="yellow"/>
        </w:rPr>
        <w:t xml:space="preserve">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Neither the validation and approval process nor the failure to validate an alternative test method shall abrogate the owner or operator's responsibility to comply with the requirements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w:t>
      </w:r>
      <w:r w:rsidRPr="006D4EE5">
        <w:rPr>
          <w:rFonts w:ascii="Times New Roman" w:hAnsi="Times New Roman" w:cs="Times New Roman"/>
          <w:i/>
          <w:iCs/>
          <w:strike/>
          <w:sz w:val="20"/>
          <w:szCs w:val="20"/>
          <w:highlight w:val="yellow"/>
        </w:rPr>
        <w:t xml:space="preserve">Data analysis, recordkeeping, and reporting. </w:t>
      </w:r>
      <w:r w:rsidRPr="006D4EE5">
        <w:rPr>
          <w:rFonts w:ascii="Times New Roman" w:hAnsi="Times New Roman" w:cs="Times New Roman"/>
          <w:strike/>
          <w:sz w:val="20"/>
          <w:szCs w:val="20"/>
          <w:highlight w:val="yellow"/>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(h) </w:t>
      </w:r>
      <w:r w:rsidRPr="006D4EE5">
        <w:rPr>
          <w:rFonts w:ascii="Times New Roman" w:hAnsi="Times New Roman" w:cs="Times New Roman"/>
          <w:i/>
          <w:iCs/>
          <w:strike/>
          <w:sz w:val="20"/>
          <w:szCs w:val="20"/>
          <w:highlight w:val="yellow"/>
        </w:rPr>
        <w:t xml:space="preserve">Waiver of performance tests. </w:t>
      </w:r>
      <w:r w:rsidRPr="006D4EE5">
        <w:rPr>
          <w:rFonts w:ascii="Times New Roman" w:hAnsi="Times New Roman" w:cs="Times New Roman"/>
          <w:strike/>
          <w:sz w:val="20"/>
          <w:szCs w:val="20"/>
          <w:highlight w:val="yellow"/>
        </w:rPr>
        <w:t>(1) Until a waiver of a performance testing requirement has been granted by the Administrator under this paragraph, the owner or operator of an affected source remains subject to the requirements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Request to waive a performance test. </w:t>
      </w:r>
      <w:r w:rsidRPr="006D4EE5">
        <w:rPr>
          <w:rFonts w:ascii="Times New Roman" w:hAnsi="Times New Roman" w:cs="Times New Roman"/>
          <w:strike/>
          <w:sz w:val="20"/>
          <w:szCs w:val="20"/>
          <w:highlight w:val="yellow"/>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Approval of request to waive performance test. </w:t>
      </w:r>
      <w:r w:rsidRPr="006D4EE5">
        <w:rPr>
          <w:rFonts w:ascii="Times New Roman" w:hAnsi="Times New Roman" w:cs="Times New Roman"/>
          <w:strike/>
          <w:sz w:val="20"/>
          <w:szCs w:val="20"/>
          <w:highlight w:val="yellow"/>
        </w:rPr>
        <w:t>The Administrator will approve or deny a request for a waiver of a performance test made under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when he/she—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Approves or denies an extension of compliance under §63.6(i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8);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Approves or disapproves a site-specific test plan under §63.7(c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Makes a determination of compliance following the submission of a required compliance status report or excess emissions and continuous monitoring systems performance report; or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Makes</w:t>
      </w:r>
      <w:proofErr w:type="gramEnd"/>
      <w:r w:rsidRPr="006D4EE5">
        <w:rPr>
          <w:rFonts w:ascii="Times New Roman" w:hAnsi="Times New Roman" w:cs="Times New Roman"/>
          <w:strike/>
          <w:sz w:val="20"/>
          <w:szCs w:val="20"/>
          <w:highlight w:val="yellow"/>
        </w:rPr>
        <w:t xml:space="preserve"> a determination of suitable progress towards compliance following the submission of a compliance progress report, whichever is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65 FR 62215, Oct. 17, 2000; 67 FR 16602, Apr. 5, 2002; 72 FR 27443, May 16, 2007; 75 FR 55655, Sept. 13, 2010]</w:t>
      </w:r>
    </w:p>
    <w:p w:rsidR="00EB7550" w:rsidRPr="006D4EE5" w:rsidRDefault="00EB7550" w:rsidP="00EB7550">
      <w:pPr>
        <w:pStyle w:val="Heading5"/>
        <w:jc w:val="both"/>
        <w:rPr>
          <w:strike/>
          <w:sz w:val="20"/>
          <w:szCs w:val="20"/>
          <w:highlight w:val="yellow"/>
        </w:rPr>
      </w:pPr>
      <w:r w:rsidRPr="006D4EE5">
        <w:rPr>
          <w:strike/>
          <w:sz w:val="20"/>
          <w:szCs w:val="20"/>
          <w:highlight w:val="yellow"/>
        </w:rPr>
        <w:t>§ 63.8   Monitoring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(1) The applicability of this section is set out in §63.1(a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(2) For the purposes of this part, all CMS required under relevant standards shall be subject to the provisions of this section upon promulgation of performance specifications for CMS as specified in the relevant standard or otherwise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Additional monitoring requirements for control devices used to comply with provisions in relevant standards of this part are specified in §63.11.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Conduct of monitoring. </w:t>
      </w:r>
      <w:r w:rsidRPr="006D4EE5">
        <w:rPr>
          <w:rFonts w:ascii="Times New Roman" w:hAnsi="Times New Roman" w:cs="Times New Roman"/>
          <w:strike/>
          <w:sz w:val="20"/>
          <w:szCs w:val="20"/>
          <w:highlight w:val="yellow"/>
        </w:rPr>
        <w:t>(1) Monitoring shall be conducted as set forth in this section and the relevant standard(s) unless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Specifies or approves the use of minor changes in methodology for the specified monitoring requirements and procedures (see §63.90(a) for definition);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Approves the use of an intermediate or major change or alternative to any monitoring requirements or procedures (see §63.90(a) for definition).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Owners or operators with flares subject to §63.11(b) are not subject to the requirements of this section unless otherwise specified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Approved by the Administrator;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Operation and maintenance of continuous monitoring systems. </w:t>
      </w:r>
      <w:r w:rsidRPr="006D4EE5">
        <w:rPr>
          <w:rFonts w:ascii="Times New Roman" w:hAnsi="Times New Roman" w:cs="Times New Roman"/>
          <w:strike/>
          <w:sz w:val="20"/>
          <w:szCs w:val="20"/>
          <w:highlight w:val="yellow"/>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must keep the necessary parts for routine repairs of the affected CMS equipment readily available.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owner or operator of an affected source must develop a written startup, shutdown, and malfunction plan for CMS as specified in §63.6(e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(2)(i) All CMS must be installed such that representative measures of emissions or process parameters from the affected source are obtained. In addition, CEMS must be located according to procedures contained in the applicable performance specification(s).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All COMS shall complete a minimum of one cycle of sampling and analyzing for each successive 10-second period and one cycle of data recording for each successive 6-minute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All CEMS for measuring emissions other than opacity shall complete a minimum of one cycle of operation (sampling, analyzing, and data recording) for each successive 15-minute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(7)(i) A CMS is out of control if—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zero (low-level), mid-level (if applicable), or high-level calibration drift (CD) exceeds two times the applicable CD specification in the applicable performance specification or in the relevant standard;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CMS fails a performance test audit (e.g., cylinder gas audit), relative accuracy audit, relative accuracy test audit, or linearity test audit;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COMS CD exceeds two times the limit in the applicable performance specification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w:t>
      </w:r>
      <w:r w:rsidRPr="006D4EE5">
        <w:rPr>
          <w:rFonts w:ascii="Times New Roman" w:hAnsi="Times New Roman" w:cs="Times New Roman"/>
          <w:strike/>
          <w:sz w:val="20"/>
          <w:szCs w:val="20"/>
          <w:highlight w:val="yellow"/>
        </w:rPr>
        <w:lastRenderedPageBreak/>
        <w:t>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Quality control program. </w:t>
      </w:r>
      <w:r w:rsidRPr="006D4EE5">
        <w:rPr>
          <w:rFonts w:ascii="Times New Roman" w:hAnsi="Times New Roman" w:cs="Times New Roman"/>
          <w:strike/>
          <w:sz w:val="20"/>
          <w:szCs w:val="20"/>
          <w:highlight w:val="yellow"/>
        </w:rPr>
        <w:t>(1) The results of the quality control program required in this paragraph will be considered by the Administrator when he/she determines the validity of monitoring data.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Initial and any subsequent calibration of the CMS;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Determination and adjustment of the calibration drift of the CMS;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Preventive maintenance of the CMS, including spare parts inventory;</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Data</w:t>
      </w:r>
      <w:proofErr w:type="gramEnd"/>
      <w:r w:rsidRPr="006D4EE5">
        <w:rPr>
          <w:rFonts w:ascii="Times New Roman" w:hAnsi="Times New Roman" w:cs="Times New Roman"/>
          <w:strike/>
          <w:sz w:val="20"/>
          <w:szCs w:val="20"/>
          <w:highlight w:val="yellow"/>
        </w:rPr>
        <w:t xml:space="preserve"> recording, calculations, and reporting;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Accuracy audit procedures, including sampling and analysis methods; and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Program</w:t>
      </w:r>
      <w:proofErr w:type="gramEnd"/>
      <w:r w:rsidRPr="006D4EE5">
        <w:rPr>
          <w:rFonts w:ascii="Times New Roman" w:hAnsi="Times New Roman" w:cs="Times New Roman"/>
          <w:strike/>
          <w:sz w:val="20"/>
          <w:szCs w:val="20"/>
          <w:highlight w:val="yellow"/>
        </w:rPr>
        <w:t xml:space="preserve"> of corrective action for a malfunctioning CMS.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Performance evaluation of continuous monitoring systems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General. </w:t>
      </w:r>
      <w:r w:rsidRPr="006D4EE5">
        <w:rPr>
          <w:rFonts w:ascii="Times New Roman" w:hAnsi="Times New Roman" w:cs="Times New Roman"/>
          <w:strike/>
          <w:sz w:val="20"/>
          <w:szCs w:val="20"/>
          <w:highlight w:val="yellow"/>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Notification of performance evaluation. </w:t>
      </w:r>
      <w:r w:rsidRPr="006D4EE5">
        <w:rPr>
          <w:rFonts w:ascii="Times New Roman" w:hAnsi="Times New Roman" w:cs="Times New Roman"/>
          <w:strike/>
          <w:sz w:val="20"/>
          <w:szCs w:val="20"/>
          <w:highlight w:val="yellow"/>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(3)(i) </w:t>
      </w:r>
      <w:r w:rsidRPr="006D4EE5">
        <w:rPr>
          <w:rFonts w:ascii="Times New Roman" w:hAnsi="Times New Roman" w:cs="Times New Roman"/>
          <w:i/>
          <w:iCs/>
          <w:strike/>
          <w:sz w:val="20"/>
          <w:szCs w:val="20"/>
          <w:highlight w:val="yellow"/>
        </w:rPr>
        <w:t xml:space="preserve">Submission of site-specific performance evaluation test plan. </w:t>
      </w:r>
      <w:r w:rsidRPr="006D4EE5">
        <w:rPr>
          <w:rFonts w:ascii="Times New Roman" w:hAnsi="Times New Roman" w:cs="Times New Roman"/>
          <w:strike/>
          <w:sz w:val="20"/>
          <w:szCs w:val="20"/>
          <w:highlight w:val="yellow"/>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The</w:t>
      </w:r>
      <w:proofErr w:type="gramEnd"/>
      <w:r w:rsidRPr="006D4EE5">
        <w:rPr>
          <w:rFonts w:ascii="Times New Roman" w:hAnsi="Times New Roman" w:cs="Times New Roman"/>
          <w:strike/>
          <w:sz w:val="20"/>
          <w:szCs w:val="20"/>
          <w:highlight w:val="yellow"/>
        </w:rPr>
        <w:t xml:space="preserve"> Administrator may request additional relevant information after the submittal of a site-specific performance evaluation test plan.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In the event that the Administrator fails to approve or disapprove the site-specific performance evaluation test plan within the time period specified in §63.7(c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the following conditions shall apply: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 Neither the submission of a site-specific performance evaluation test plan for approval, nor the Administrator's approval or disapproval of a plan, nor the Administrator's failure to approve or disapprove a plan in a timely manner shall—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Relieve an owner or operator of legal responsibility for compliance with any applicable provisions of this part or with any other applicable Federal, State, or local requirement;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Prevent the Administrator from implementing or enforcing this part or taking any other action under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Conduct of performance evaluation and performance evaluation dates. </w:t>
      </w:r>
      <w:r w:rsidRPr="006D4EE5">
        <w:rPr>
          <w:rFonts w:ascii="Times New Roman" w:hAnsi="Times New Roman" w:cs="Times New Roman"/>
          <w:strike/>
          <w:sz w:val="20"/>
          <w:szCs w:val="20"/>
          <w:highlight w:val="yellow"/>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w:t>
      </w:r>
      <w:r w:rsidRPr="006D4EE5">
        <w:rPr>
          <w:rFonts w:ascii="Times New Roman" w:hAnsi="Times New Roman" w:cs="Times New Roman"/>
          <w:i/>
          <w:iCs/>
          <w:strike/>
          <w:sz w:val="20"/>
          <w:szCs w:val="20"/>
          <w:highlight w:val="yellow"/>
        </w:rPr>
        <w:t xml:space="preserve">Reporting performance evaluation results. </w:t>
      </w:r>
      <w:r w:rsidRPr="006D4EE5">
        <w:rPr>
          <w:rFonts w:ascii="Times New Roman" w:hAnsi="Times New Roman" w:cs="Times New Roman"/>
          <w:strike/>
          <w:sz w:val="20"/>
          <w:szCs w:val="20"/>
          <w:highlight w:val="yellow"/>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(f) </w:t>
      </w:r>
      <w:r w:rsidRPr="006D4EE5">
        <w:rPr>
          <w:rFonts w:ascii="Times New Roman" w:hAnsi="Times New Roman" w:cs="Times New Roman"/>
          <w:i/>
          <w:iCs/>
          <w:strike/>
          <w:sz w:val="20"/>
          <w:szCs w:val="20"/>
          <w:highlight w:val="yellow"/>
        </w:rPr>
        <w:t xml:space="preserve">Use of an alternative monitoring method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General. </w:t>
      </w:r>
      <w:r w:rsidRPr="006D4EE5">
        <w:rPr>
          <w:rFonts w:ascii="Times New Roman" w:hAnsi="Times New Roman" w:cs="Times New Roman"/>
          <w:strike/>
          <w:sz w:val="20"/>
          <w:szCs w:val="20"/>
          <w:highlight w:val="yellow"/>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After receipt and consideration of written application, the Administrator may approve alternatives to any monitoring methods or procedures of this part including, but not limited to, the following: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Alternative monitoring requirements when installation of a CMS specified by a relevant standard would not provide accurate measurements due to liquid water or other interferences caused by substances within the effluent gases;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Alternative monitoring requirements when the affected source is infrequently operated;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Alternative monitoring requirements to accommodate CEMS that require additional measurements to correct for stack moisture conditions;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Alternative</w:t>
      </w:r>
      <w:proofErr w:type="gramEnd"/>
      <w:r w:rsidRPr="006D4EE5">
        <w:rPr>
          <w:rFonts w:ascii="Times New Roman" w:hAnsi="Times New Roman" w:cs="Times New Roman"/>
          <w:strike/>
          <w:sz w:val="20"/>
          <w:szCs w:val="20"/>
          <w:highlight w:val="yellow"/>
        </w:rPr>
        <w:t xml:space="preserve"> locations for installing CMS when the owner or operator can demonstrate that installation at alternate locations will enable accurate and representative measurements;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Alternate methods for converting pollutant concentration measurements to units of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Alternate</w:t>
      </w:r>
      <w:proofErr w:type="gramEnd"/>
      <w:r w:rsidRPr="006D4EE5">
        <w:rPr>
          <w:rFonts w:ascii="Times New Roman" w:hAnsi="Times New Roman" w:cs="Times New Roman"/>
          <w:strike/>
          <w:sz w:val="20"/>
          <w:szCs w:val="20"/>
          <w:highlight w:val="yellow"/>
        </w:rPr>
        <w:t xml:space="preserve"> procedures for performing daily checks of zero (low-level) and high-level drift that do not involve use of high-level gases or test cells;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Alternatives to the American Society for Testing and Materials (ASTM) test methods or sampling procedures specified by any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(ix) Alternative monitoring requirements when the effluent from a single affected source or the combined effluent from two or more affected sources is released to the atmosphere through more than one point.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(4)(i) </w:t>
      </w:r>
      <w:r w:rsidRPr="006D4EE5">
        <w:rPr>
          <w:rFonts w:ascii="Times New Roman" w:hAnsi="Times New Roman" w:cs="Times New Roman"/>
          <w:i/>
          <w:iCs/>
          <w:strike/>
          <w:sz w:val="20"/>
          <w:szCs w:val="20"/>
          <w:highlight w:val="yellow"/>
        </w:rPr>
        <w:t xml:space="preserve">Request to use alternative monitoring procedure. </w:t>
      </w:r>
      <w:r w:rsidRPr="006D4EE5">
        <w:rPr>
          <w:rFonts w:ascii="Times New Roman" w:hAnsi="Times New Roman" w:cs="Times New Roman"/>
          <w:strike/>
          <w:sz w:val="20"/>
          <w:szCs w:val="20"/>
          <w:highlight w:val="yellow"/>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Application for minor changes to monitoring procedures, as specified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may be made in the site-specific performance evaluation plan.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w:t>
      </w:r>
      <w:r w:rsidRPr="006D4EE5">
        <w:rPr>
          <w:rFonts w:ascii="Times New Roman" w:hAnsi="Times New Roman" w:cs="Times New Roman"/>
          <w:i/>
          <w:iCs/>
          <w:strike/>
          <w:sz w:val="20"/>
          <w:szCs w:val="20"/>
          <w:highlight w:val="yellow"/>
        </w:rPr>
        <w:t xml:space="preserve">Approval of request to use alternative monitoring procedure. </w:t>
      </w:r>
      <w:r w:rsidRPr="006D4EE5">
        <w:rPr>
          <w:rFonts w:ascii="Times New Roman" w:hAnsi="Times New Roman" w:cs="Times New Roman"/>
          <w:strike/>
          <w:sz w:val="20"/>
          <w:szCs w:val="20"/>
          <w:highlight w:val="yellow"/>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Notice of the information and findings on which the intended disapproval is based;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Administrator may establish general procedures and criteria in a relevant standard to accomplish the requirements of paragraph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w:t>
      </w:r>
      <w:r w:rsidRPr="006D4EE5">
        <w:rPr>
          <w:rFonts w:ascii="Times New Roman" w:hAnsi="Times New Roman" w:cs="Times New Roman"/>
          <w:i/>
          <w:iCs/>
          <w:strike/>
          <w:sz w:val="20"/>
          <w:szCs w:val="20"/>
          <w:highlight w:val="yellow"/>
        </w:rPr>
        <w:t xml:space="preserve">Alternative to the relative accuracy test. </w:t>
      </w:r>
      <w:r w:rsidRPr="006D4EE5">
        <w:rPr>
          <w:rFonts w:ascii="Times New Roman" w:hAnsi="Times New Roman" w:cs="Times New Roman"/>
          <w:strike/>
          <w:sz w:val="20"/>
          <w:szCs w:val="20"/>
          <w:highlight w:val="yellow"/>
        </w:rPr>
        <w:t>An alternative to the relative accuracy test for CEMS specified in a relevant standard may be requested as follows: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w:t>
      </w:r>
      <w:r w:rsidRPr="006D4EE5">
        <w:rPr>
          <w:rFonts w:ascii="Times New Roman" w:hAnsi="Times New Roman" w:cs="Times New Roman"/>
          <w:i/>
          <w:iCs/>
          <w:strike/>
          <w:sz w:val="20"/>
          <w:szCs w:val="20"/>
          <w:highlight w:val="yellow"/>
        </w:rPr>
        <w:t xml:space="preserve">Criteria for approval of alternative procedures. </w:t>
      </w:r>
      <w:r w:rsidRPr="006D4EE5">
        <w:rPr>
          <w:rFonts w:ascii="Times New Roman" w:hAnsi="Times New Roman" w:cs="Times New Roman"/>
          <w:strike/>
          <w:sz w:val="20"/>
          <w:szCs w:val="20"/>
          <w:highlight w:val="yellow"/>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 </w:t>
      </w:r>
      <w:r w:rsidRPr="006D4EE5">
        <w:rPr>
          <w:rFonts w:ascii="Times New Roman" w:hAnsi="Times New Roman" w:cs="Times New Roman"/>
          <w:i/>
          <w:iCs/>
          <w:strike/>
          <w:sz w:val="20"/>
          <w:szCs w:val="20"/>
          <w:highlight w:val="yellow"/>
        </w:rPr>
        <w:t xml:space="preserve">Petition to use alternative to relative accuracy test. </w:t>
      </w:r>
      <w:r w:rsidRPr="006D4EE5">
        <w:rPr>
          <w:rFonts w:ascii="Times New Roman" w:hAnsi="Times New Roman" w:cs="Times New Roman"/>
          <w:strike/>
          <w:sz w:val="20"/>
          <w:szCs w:val="20"/>
          <w:highlight w:val="yellow"/>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(iii) </w:t>
      </w:r>
      <w:r w:rsidRPr="006D4EE5">
        <w:rPr>
          <w:rFonts w:ascii="Times New Roman" w:hAnsi="Times New Roman" w:cs="Times New Roman"/>
          <w:i/>
          <w:iCs/>
          <w:strike/>
          <w:sz w:val="20"/>
          <w:szCs w:val="20"/>
          <w:highlight w:val="yellow"/>
        </w:rPr>
        <w:t xml:space="preserve">Rescission of approval to use alternative to relative accuracy test. </w:t>
      </w:r>
      <w:r w:rsidRPr="006D4EE5">
        <w:rPr>
          <w:rFonts w:ascii="Times New Roman" w:hAnsi="Times New Roman" w:cs="Times New Roman"/>
          <w:strike/>
          <w:sz w:val="20"/>
          <w:szCs w:val="20"/>
          <w:highlight w:val="yellow"/>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w:t>
      </w:r>
      <w:r w:rsidRPr="006D4EE5">
        <w:rPr>
          <w:rFonts w:ascii="Times New Roman" w:hAnsi="Times New Roman" w:cs="Times New Roman"/>
          <w:i/>
          <w:iCs/>
          <w:strike/>
          <w:sz w:val="20"/>
          <w:szCs w:val="20"/>
          <w:highlight w:val="yellow"/>
        </w:rPr>
        <w:t xml:space="preserve">Reduction of monitoring data. </w:t>
      </w:r>
      <w:r w:rsidRPr="006D4EE5">
        <w:rPr>
          <w:rFonts w:ascii="Times New Roman" w:hAnsi="Times New Roman" w:cs="Times New Roman"/>
          <w:strike/>
          <w:sz w:val="20"/>
          <w:szCs w:val="20"/>
          <w:highlight w:val="yellow"/>
        </w:rPr>
        <w:t>(1) The owner or operator of each CMS must reduce the monitoring data as specified in paragraphs (g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(5)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The data may be recorded in reduced or nonreduced form (e.g., ppm pollutant and percent O</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or ng/J of pollutant).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2)(vii)(A) or (B), data averages must include any data recorded during periods of monitor breakdown or malfunction.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64 FR 7468, Feb. 12, 1999; 67 FR 16603, Apr. 5, 2002; 71 FR 20455, Apr. 20, 2006]</w:t>
      </w:r>
    </w:p>
    <w:p w:rsidR="00EB7550" w:rsidRPr="006D4EE5" w:rsidRDefault="00EB7550" w:rsidP="00EB7550">
      <w:pPr>
        <w:pStyle w:val="Heading5"/>
        <w:rPr>
          <w:strike/>
          <w:sz w:val="20"/>
          <w:szCs w:val="20"/>
          <w:highlight w:val="yellow"/>
        </w:rPr>
      </w:pPr>
      <w:r w:rsidRPr="006D4EE5">
        <w:rPr>
          <w:strike/>
          <w:sz w:val="20"/>
          <w:szCs w:val="20"/>
          <w:highlight w:val="yellow"/>
        </w:rPr>
        <w:t>§ 63.9   Notification requirements.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and general information. </w:t>
      </w:r>
      <w:r w:rsidRPr="006D4EE5">
        <w:rPr>
          <w:rFonts w:ascii="Times New Roman" w:hAnsi="Times New Roman" w:cs="Times New Roman"/>
          <w:strike/>
          <w:sz w:val="20"/>
          <w:szCs w:val="20"/>
          <w:highlight w:val="yellow"/>
        </w:rPr>
        <w:t>(1) The applicability of this section is set out in §63.1(a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affected sources that have been granted an extension of compliance under subpart D of this part, the requirements of this section do not apply to those sources while they are operating under such compliance extensions.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(4)(i) Before a State has been delegated the authority to implement and enforce notification requirements established under this part, the owner or operator of an affected source in such State subject to such requirements shall submit notifications to the </w:t>
      </w:r>
      <w:r w:rsidRPr="006D4EE5">
        <w:rPr>
          <w:rFonts w:ascii="Times New Roman" w:hAnsi="Times New Roman" w:cs="Times New Roman"/>
          <w:strike/>
          <w:sz w:val="20"/>
          <w:szCs w:val="20"/>
          <w:highlight w:val="yellow"/>
        </w:rPr>
        <w:lastRenderedPageBreak/>
        <w:t>appropriate Regional Office of the EPA (to the attention of the Director of the Division indicated in the list of the EPA Regional Offices in §63.13).</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Initial notifications. </w:t>
      </w:r>
      <w:r w:rsidRPr="006D4EE5">
        <w:rPr>
          <w:rFonts w:ascii="Times New Roman" w:hAnsi="Times New Roman" w:cs="Times New Roman"/>
          <w:strike/>
          <w:sz w:val="20"/>
          <w:szCs w:val="20"/>
          <w:highlight w:val="yellow"/>
        </w:rPr>
        <w:t>(1)(i) The requirements of this paragraph apply to the owner or operator of an affected source when such source becomes subject to a relevant standard.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name and address of the owner or operator;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address (i.e., physical location) of the affected source;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An identification of the relevant standard, or other requirement, that is the basis of the notification and the source's compliance date;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A brief description of the nature, size, design, and method of operation of the source and an identification of the types of emission points within the affected source subject to the relevant standard and types of hazardous air pollutants emitted;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A statement of whether the affected source is a major source or an area source.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[Reserved]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owner or operator of a new or reconstructed major affected source for which an application for approval of construction or reconstruction is required under §63.5(d) must provide the following information in writing to the Administrator: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iv) [Reserved]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A notification of the actual date of startup of the source, delivered or postmarked within 15 calendar days after that date.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 The owner or operator of a new or reconstructed affected source for which an application for approval of construction or reconstruction is not required under §63.5(d) must provide the following information in writing to the Administrator: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 notification of intention to construct a new affected source, reconstruct an affected source, or reconstruct a source such that the source becomes an affected source,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 notification of the actual date of startup of the source, delivered or postmarked within 15 calendar days after that date.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Request for extension of compliance. </w:t>
      </w:r>
      <w:r w:rsidRPr="006D4EE5">
        <w:rPr>
          <w:rFonts w:ascii="Times New Roman" w:hAnsi="Times New Roman" w:cs="Times New Roman"/>
          <w:strike/>
          <w:sz w:val="20"/>
          <w:szCs w:val="20"/>
          <w:highlight w:val="yellow"/>
        </w:rPr>
        <w:t>If the owner or operator of an affected source cannot comply with a relevant standard by the applicable compliance date for that source, or if the owner or operator has installed BACT or technology to meet LAER consistent with §63.6(i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of this subpart, he/she may submit to the Administrator (or the State with an approved permit program) a request for an extension of compliance as specified in §63.6(i)(4) through §63.6(i)(6).</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Notification that source is subject to special compliance requirements. </w:t>
      </w:r>
      <w:r w:rsidRPr="006D4EE5">
        <w:rPr>
          <w:rFonts w:ascii="Times New Roman" w:hAnsi="Times New Roman" w:cs="Times New Roman"/>
          <w:strike/>
          <w:sz w:val="20"/>
          <w:szCs w:val="20"/>
          <w:highlight w:val="yellow"/>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Notification of performance test. </w:t>
      </w:r>
      <w:r w:rsidRPr="006D4EE5">
        <w:rPr>
          <w:rFonts w:ascii="Times New Roman" w:hAnsi="Times New Roman" w:cs="Times New Roman"/>
          <w:strike/>
          <w:sz w:val="20"/>
          <w:szCs w:val="20"/>
          <w:highlight w:val="yellow"/>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f</w:t>
      </w:r>
      <w:proofErr w:type="gramEnd"/>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Notification of opacity and visible emission observations. </w:t>
      </w:r>
      <w:r w:rsidRPr="006D4EE5">
        <w:rPr>
          <w:rFonts w:ascii="Times New Roman" w:hAnsi="Times New Roman" w:cs="Times New Roman"/>
          <w:strike/>
          <w:sz w:val="20"/>
          <w:szCs w:val="20"/>
          <w:highlight w:val="yellow"/>
        </w:rPr>
        <w:t>The owner or operator of an affected source shall notify the Administrator in writing of the anticipated date for conducting the opacity or visible emission observations specified in §63.6(h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w:t>
      </w:r>
      <w:r w:rsidRPr="006D4EE5">
        <w:rPr>
          <w:rFonts w:ascii="Times New Roman" w:hAnsi="Times New Roman" w:cs="Times New Roman"/>
          <w:i/>
          <w:iCs/>
          <w:strike/>
          <w:sz w:val="20"/>
          <w:szCs w:val="20"/>
          <w:highlight w:val="yellow"/>
        </w:rPr>
        <w:t xml:space="preserve">Additional notification requirements for sources with continuous monitoring systems. </w:t>
      </w:r>
      <w:r w:rsidRPr="006D4EE5">
        <w:rPr>
          <w:rFonts w:ascii="Times New Roman" w:hAnsi="Times New Roman" w:cs="Times New Roman"/>
          <w:strike/>
          <w:sz w:val="20"/>
          <w:szCs w:val="20"/>
          <w:highlight w:val="yellow"/>
        </w:rPr>
        <w:t>The owner or operator of an affected source required to use a CMS by a relevant standard shall furnish the Administrator written notification as follows: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7)(ii), if compliance with an opacity emission standard is required for the source by a relevant standard. The notification shall be submitted at least 60 calendar days before the performance test is scheduled to begin;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 notification that the criterion necessary to continue use of an alternative to relative accuracy testing, as provided by §63.8(f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6), has been exceeded. The notification shall be delivered or postmarked </w:t>
      </w:r>
      <w:proofErr w:type="spellStart"/>
      <w:r w:rsidRPr="006D4EE5">
        <w:rPr>
          <w:rFonts w:ascii="Times New Roman" w:hAnsi="Times New Roman" w:cs="Times New Roman"/>
          <w:strike/>
          <w:sz w:val="20"/>
          <w:szCs w:val="20"/>
          <w:highlight w:val="yellow"/>
        </w:rPr>
        <w:t>not</w:t>
      </w:r>
      <w:proofErr w:type="spellEnd"/>
      <w:r w:rsidRPr="006D4EE5">
        <w:rPr>
          <w:rFonts w:ascii="Times New Roman" w:hAnsi="Times New Roman" w:cs="Times New Roman"/>
          <w:strike/>
          <w:sz w:val="20"/>
          <w:szCs w:val="20"/>
          <w:highlight w:val="yellow"/>
        </w:rPr>
        <w:t xml:space="preserve"> later than 10 days after the occurrence of such exceedance, and it shall include a description of the nature and cause of the increased emissions.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(h) </w:t>
      </w:r>
      <w:r w:rsidRPr="006D4EE5">
        <w:rPr>
          <w:rFonts w:ascii="Times New Roman" w:hAnsi="Times New Roman" w:cs="Times New Roman"/>
          <w:i/>
          <w:iCs/>
          <w:strike/>
          <w:sz w:val="20"/>
          <w:szCs w:val="20"/>
          <w:highlight w:val="yellow"/>
        </w:rPr>
        <w:t xml:space="preserve">Notification of compliance status. </w:t>
      </w:r>
      <w:r w:rsidRPr="006D4EE5">
        <w:rPr>
          <w:rFonts w:ascii="Times New Roman" w:hAnsi="Times New Roman" w:cs="Times New Roman"/>
          <w:strike/>
          <w:sz w:val="20"/>
          <w:szCs w:val="20"/>
          <w:highlight w:val="yellow"/>
        </w:rPr>
        <w:t>(1) The requirements of paragraphs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through (h)(4) of this section apply when an affected source becomes subject to a relevant standard.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methods that were used to determine compliance;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results of any performance tests, opacity or visible emission observations, continuous monitoring system (CMS) performance evaluations, and/or other monitoring procedures or methods that were conducted;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methods that will be used for determining continuing compliance, including a description of monitoring and reporting requirements and test methods;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type and quantity of hazardous air pollutants emitted by the source (or surrogate pollutants if specified in the relevant standard), reported in units and averaging times and in accordance with the test methods specified in the relevant standard;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If the relevant standard applies to both major and area sources, an analysis demonstrating whether the affected source is a major source (using the emissions data generated for this notification);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A description of the air pollution control equipment (or method) for each emission point, including each control device (or method) for each hazardous air pollutant and the control efficiency (percent) for each control device (or method); and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A statement by the owner or operator of the affected existing, new, or reconstructed source as to whether the source has complied with the relevant standard or other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(6) Advice on a notification of compliance status may be obtained from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 </w:t>
      </w:r>
      <w:r w:rsidRPr="006D4EE5">
        <w:rPr>
          <w:rFonts w:ascii="Times New Roman" w:hAnsi="Times New Roman" w:cs="Times New Roman"/>
          <w:i/>
          <w:iCs/>
          <w:strike/>
          <w:sz w:val="20"/>
          <w:szCs w:val="20"/>
          <w:highlight w:val="yellow"/>
        </w:rPr>
        <w:t xml:space="preserve">Adjustment to time periods or postmark deadlines for submittal and review of required communications. </w:t>
      </w:r>
      <w:r w:rsidRPr="006D4EE5">
        <w:rPr>
          <w:rFonts w:ascii="Times New Roman" w:hAnsi="Times New Roman" w:cs="Times New Roman"/>
          <w:strike/>
          <w:sz w:val="20"/>
          <w:szCs w:val="20"/>
          <w:highlight w:val="yellow"/>
        </w:rPr>
        <w:t>(1)(i) Until an adjustment of a time period or postmark deadline has been approved by the Administrator under paragraphs (i)(2) and (i)(3) of this section, the owner or operator of an affected source remains strictly subject to the requirements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An owner or operator shall request the adjustment provided for in paragraphs (i)(2) and (i)(3) of this section each time he or she wishes to change an applicable time period or postmark deadline specified in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If the Administrator is unable to meet a specified deadline, he or she will notify the owner or operator of any significant delay and inform the owner or operator of the amended schedule.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(j) </w:t>
      </w:r>
      <w:r w:rsidRPr="006D4EE5">
        <w:rPr>
          <w:rFonts w:ascii="Times New Roman" w:hAnsi="Times New Roman" w:cs="Times New Roman"/>
          <w:i/>
          <w:iCs/>
          <w:strike/>
          <w:sz w:val="20"/>
          <w:szCs w:val="20"/>
          <w:highlight w:val="yellow"/>
        </w:rPr>
        <w:t xml:space="preserve">Change in information already provided. </w:t>
      </w:r>
      <w:r w:rsidRPr="006D4EE5">
        <w:rPr>
          <w:rFonts w:ascii="Times New Roman" w:hAnsi="Times New Roman" w:cs="Times New Roman"/>
          <w:strike/>
          <w:sz w:val="20"/>
          <w:szCs w:val="20"/>
          <w:highlight w:val="yellow"/>
        </w:rPr>
        <w:t>Any change in the information already provided under this section shall be provided to the Administrator in writing within 15 calendar days after the change.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64 FR 7468, Feb. 12, 1999; 67 FR 16604, Apr. 5, 2002; 68 FR 32601, May 30, 2003]</w:t>
      </w:r>
    </w:p>
    <w:p w:rsidR="00EB7550" w:rsidRPr="006D4EE5" w:rsidRDefault="00EB7550" w:rsidP="00EB7550">
      <w:pPr>
        <w:pStyle w:val="Heading5"/>
        <w:jc w:val="both"/>
        <w:rPr>
          <w:strike/>
          <w:sz w:val="20"/>
          <w:szCs w:val="20"/>
          <w:highlight w:val="yellow"/>
        </w:rPr>
      </w:pPr>
      <w:r w:rsidRPr="006D4EE5">
        <w:rPr>
          <w:strike/>
          <w:sz w:val="20"/>
          <w:szCs w:val="20"/>
          <w:highlight w:val="yellow"/>
        </w:rPr>
        <w:t>§ 63.10   Recordkeeping and reporting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and general information. </w:t>
      </w:r>
      <w:r w:rsidRPr="006D4EE5">
        <w:rPr>
          <w:rFonts w:ascii="Times New Roman" w:hAnsi="Times New Roman" w:cs="Times New Roman"/>
          <w:strike/>
          <w:sz w:val="20"/>
          <w:szCs w:val="20"/>
          <w:highlight w:val="yellow"/>
        </w:rPr>
        <w:t>(1) The applicability of this section is set out in §63.1(a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For affected sources that have been granted an extension of compliance under subpart D of this part, the requirements of this section do not apply to those sources while they are operating under such compliance extensions.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6D4EE5">
        <w:rPr>
          <w:rFonts w:ascii="Times New Roman" w:hAnsi="Times New Roman" w:cs="Times New Roman"/>
          <w:strike/>
          <w:sz w:val="20"/>
          <w:szCs w:val="20"/>
          <w:highlight w:val="yellow"/>
        </w:rPr>
        <w:t>ies</w:t>
      </w:r>
      <w:proofErr w:type="spellEnd"/>
      <w:r w:rsidRPr="006D4EE5">
        <w:rPr>
          <w:rFonts w:ascii="Times New Roman" w:hAnsi="Times New Roman" w:cs="Times New Roman"/>
          <w:strike/>
          <w:sz w:val="20"/>
          <w:szCs w:val="20"/>
          <w:highlight w:val="yellow"/>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General </w:t>
      </w:r>
      <w:proofErr w:type="gramStart"/>
      <w:r w:rsidRPr="006D4EE5">
        <w:rPr>
          <w:rFonts w:ascii="Times New Roman" w:hAnsi="Times New Roman" w:cs="Times New Roman"/>
          <w:i/>
          <w:iCs/>
          <w:strike/>
          <w:sz w:val="20"/>
          <w:szCs w:val="20"/>
          <w:highlight w:val="yellow"/>
        </w:rPr>
        <w:t>recordkeeping</w:t>
      </w:r>
      <w:proofErr w:type="gramEnd"/>
      <w:r w:rsidRPr="006D4EE5">
        <w:rPr>
          <w:rFonts w:ascii="Times New Roman" w:hAnsi="Times New Roman" w:cs="Times New Roman"/>
          <w:i/>
          <w:iCs/>
          <w:strike/>
          <w:sz w:val="20"/>
          <w:szCs w:val="20"/>
          <w:highlight w:val="yellow"/>
        </w:rPr>
        <w:t xml:space="preserve"> requirements. </w:t>
      </w:r>
      <w:r w:rsidRPr="006D4EE5">
        <w:rPr>
          <w:rFonts w:ascii="Times New Roman" w:hAnsi="Times New Roman" w:cs="Times New Roman"/>
          <w:strike/>
          <w:sz w:val="20"/>
          <w:szCs w:val="20"/>
          <w:highlight w:val="yellow"/>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owner or operator of an affected source subject to the provisions of this part shall maintain relevant records for such source of—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occurrence and duration of each startup or shutdown when the startup or shutdown causes the source to exceed any applicable emission limitation in the relevant emission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occurrence and duration of each malfunction of operation (i.e., process equipment) or the required air pollution control and monitoring equipment;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All required maintenance performed on the air pollution control and monitoring equipment;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w:t>
      </w:r>
      <w:proofErr w:type="gramEnd"/>
      <w:r w:rsidRPr="006D4EE5">
        <w:rPr>
          <w:rFonts w:ascii="Times New Roman" w:hAnsi="Times New Roman" w:cs="Times New Roman"/>
          <w:strike/>
          <w:sz w:val="20"/>
          <w:szCs w:val="20"/>
          <w:highlight w:val="yellow"/>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w:t>
      </w:r>
      <w:r w:rsidRPr="006D4EE5">
        <w:rPr>
          <w:rFonts w:ascii="Times New Roman" w:hAnsi="Times New Roman" w:cs="Times New Roman"/>
          <w:strike/>
          <w:sz w:val="20"/>
          <w:szCs w:val="20"/>
          <w:highlight w:val="yellow"/>
        </w:rPr>
        <w:lastRenderedPageBreak/>
        <w:t>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Each</w:t>
      </w:r>
      <w:proofErr w:type="gramEnd"/>
      <w:r w:rsidRPr="006D4EE5">
        <w:rPr>
          <w:rFonts w:ascii="Times New Roman" w:hAnsi="Times New Roman" w:cs="Times New Roman"/>
          <w:strike/>
          <w:sz w:val="20"/>
          <w:szCs w:val="20"/>
          <w:highlight w:val="yellow"/>
        </w:rPr>
        <w:t xml:space="preserve"> period during which a CMS is malfunctioning or inoperative (including out-of-control periods);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(viii) All results of performance tests, CMS performance evaluations, and opacity and visible emission observations;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(ix) All measurements as may be necessary to determine the conditions of performance tests and performance evaluations;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 All CMS calibration checks;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(xi) All adjustments and maintenance performed on CMS;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(xii) Any information demonstrating whether a source is meeting the requirements for a waiver of recordkeeping or reporting requirements under this part, if the source has been granted a waiver under paragraph (f)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(xiii) All emission levels relative to the criterion for obtaining permission to use an alternative to the relative accuracy test, if the source has been granted such permission under §63.8(f)(6);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(xiv) All documentation supporting initial notifications and notifications of compliance status under §63.9.</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Recordkeeping requirement for applicability determinations. </w:t>
      </w:r>
      <w:r w:rsidRPr="006D4EE5">
        <w:rPr>
          <w:rFonts w:ascii="Times New Roman" w:hAnsi="Times New Roman" w:cs="Times New Roman"/>
          <w:strike/>
          <w:sz w:val="20"/>
          <w:szCs w:val="20"/>
          <w:highlight w:val="yellow"/>
        </w:rPr>
        <w:t xml:space="preserve">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w:t>
      </w:r>
      <w:r w:rsidRPr="006D4EE5">
        <w:rPr>
          <w:rFonts w:ascii="Times New Roman" w:hAnsi="Times New Roman" w:cs="Times New Roman"/>
          <w:strike/>
          <w:sz w:val="20"/>
          <w:szCs w:val="20"/>
          <w:highlight w:val="yellow"/>
        </w:rPr>
        <w:lastRenderedPageBreak/>
        <w:t>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and to record the results of that determination under paragraph (b)(3) of this section shall not by themselves create an obligation for the owner or operator to obtain a title V permit.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Additional recordkeeping requirements for sources with continuous monitoring systems. </w:t>
      </w:r>
      <w:r w:rsidRPr="006D4EE5">
        <w:rPr>
          <w:rFonts w:ascii="Times New Roman" w:hAnsi="Times New Roman" w:cs="Times New Roman"/>
          <w:strike/>
          <w:sz w:val="20"/>
          <w:szCs w:val="20"/>
          <w:highlight w:val="yellow"/>
        </w:rPr>
        <w:t>In addition to complying with the requirements specified in paragraphs (b)(1) and (b)(2) of this section, the owner or operator of an affected source required to install a CMS by a relevant standard shall maintain records for such source of—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All required CMS measurements (including monitoring data recorded during unavoidable CMS breakdowns and out-of-control periods);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The date and time identifying each period during which the CMS was inoperative except for zero (low-level) and high-level checks;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The date and time identifying each period during which the CMS was out of control, as defined in §63.8(c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(10) The nature and cause of any malfunction (if known);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(11) The corrective action taken or preventive measures adopted;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(12) The nature of the repairs or adjustments to the CMS that was inoperative or out of control;</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(13) The total process operating time during the reporting period;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(14) All procedures that are part of a quality control program developed and implemented for CMS under §63.8(d).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General reporting requirements. </w:t>
      </w:r>
      <w:r w:rsidRPr="006D4EE5">
        <w:rPr>
          <w:rFonts w:ascii="Times New Roman" w:hAnsi="Times New Roman" w:cs="Times New Roman"/>
          <w:strike/>
          <w:sz w:val="20"/>
          <w:szCs w:val="20"/>
          <w:highlight w:val="yellow"/>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(2) </w:t>
      </w:r>
      <w:r w:rsidRPr="006D4EE5">
        <w:rPr>
          <w:rFonts w:ascii="Times New Roman" w:hAnsi="Times New Roman" w:cs="Times New Roman"/>
          <w:i/>
          <w:iCs/>
          <w:strike/>
          <w:sz w:val="20"/>
          <w:szCs w:val="20"/>
          <w:highlight w:val="yellow"/>
        </w:rPr>
        <w:t xml:space="preserve">Reporting results of performance tests. </w:t>
      </w:r>
      <w:r w:rsidRPr="006D4EE5">
        <w:rPr>
          <w:rFonts w:ascii="Times New Roman" w:hAnsi="Times New Roman" w:cs="Times New Roman"/>
          <w:strike/>
          <w:sz w:val="20"/>
          <w:szCs w:val="20"/>
          <w:highlight w:val="yellow"/>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Reporting results of opacity or visible emission observations. </w:t>
      </w:r>
      <w:r w:rsidRPr="006D4EE5">
        <w:rPr>
          <w:rFonts w:ascii="Times New Roman" w:hAnsi="Times New Roman" w:cs="Times New Roman"/>
          <w:strike/>
          <w:sz w:val="20"/>
          <w:szCs w:val="20"/>
          <w:highlight w:val="yellow"/>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Progress reports. </w:t>
      </w:r>
      <w:r w:rsidRPr="006D4EE5">
        <w:rPr>
          <w:rFonts w:ascii="Times New Roman" w:hAnsi="Times New Roman" w:cs="Times New Roman"/>
          <w:strike/>
          <w:sz w:val="20"/>
          <w:szCs w:val="20"/>
          <w:highlight w:val="yellow"/>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(5)(i) </w:t>
      </w:r>
      <w:r w:rsidRPr="006D4EE5">
        <w:rPr>
          <w:rFonts w:ascii="Times New Roman" w:hAnsi="Times New Roman" w:cs="Times New Roman"/>
          <w:i/>
          <w:iCs/>
          <w:strike/>
          <w:sz w:val="20"/>
          <w:szCs w:val="20"/>
          <w:highlight w:val="yellow"/>
        </w:rPr>
        <w:t xml:space="preserve">Periodic startup, shutdown, and malfunction reports. </w:t>
      </w:r>
      <w:r w:rsidRPr="006D4EE5">
        <w:rPr>
          <w:rFonts w:ascii="Times New Roman" w:hAnsi="Times New Roman" w:cs="Times New Roman"/>
          <w:strike/>
          <w:sz w:val="20"/>
          <w:szCs w:val="20"/>
          <w:highlight w:val="yellow"/>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 </w:t>
      </w:r>
      <w:r w:rsidRPr="006D4EE5">
        <w:rPr>
          <w:rFonts w:ascii="Times New Roman" w:hAnsi="Times New Roman" w:cs="Times New Roman"/>
          <w:i/>
          <w:iCs/>
          <w:strike/>
          <w:sz w:val="20"/>
          <w:szCs w:val="20"/>
          <w:highlight w:val="yellow"/>
        </w:rPr>
        <w:t xml:space="preserve">Immediate startup, shutdown, and malfunction reports. </w:t>
      </w:r>
      <w:r w:rsidRPr="006D4EE5">
        <w:rPr>
          <w:rFonts w:ascii="Times New Roman" w:hAnsi="Times New Roman" w:cs="Times New Roman"/>
          <w:strike/>
          <w:sz w:val="20"/>
          <w:szCs w:val="20"/>
          <w:highlight w:val="yellow"/>
        </w:rPr>
        <w:t xml:space="preserve">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w:t>
      </w:r>
      <w:r w:rsidRPr="006D4EE5">
        <w:rPr>
          <w:rFonts w:ascii="Times New Roman" w:hAnsi="Times New Roman" w:cs="Times New Roman"/>
          <w:strike/>
          <w:sz w:val="20"/>
          <w:szCs w:val="20"/>
          <w:highlight w:val="yellow"/>
        </w:rPr>
        <w:lastRenderedPageBreak/>
        <w:t>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5)(ii) are specified in §63.9(i).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 </w:t>
      </w:r>
      <w:r w:rsidRPr="006D4EE5">
        <w:rPr>
          <w:rFonts w:ascii="Times New Roman" w:hAnsi="Times New Roman" w:cs="Times New Roman"/>
          <w:i/>
          <w:iCs/>
          <w:strike/>
          <w:sz w:val="20"/>
          <w:szCs w:val="20"/>
          <w:highlight w:val="yellow"/>
        </w:rPr>
        <w:t xml:space="preserve">Additional reporting requirements for sources with continuous monitoring systems </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General. </w:t>
      </w:r>
      <w:r w:rsidRPr="006D4EE5">
        <w:rPr>
          <w:rFonts w:ascii="Times New Roman" w:hAnsi="Times New Roman" w:cs="Times New Roman"/>
          <w:strike/>
          <w:sz w:val="20"/>
          <w:szCs w:val="20"/>
          <w:highlight w:val="yellow"/>
        </w:rPr>
        <w:t>When more than one CEMS is used to measure the emissions from one affected source (e.g., multiple breechings, multiple outlets), the owner or operator shall report the results as required for each CEMS.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Reporting results of continuous monitoring system performance evaluations. </w:t>
      </w:r>
      <w:r w:rsidRPr="006D4EE5">
        <w:rPr>
          <w:rFonts w:ascii="Times New Roman" w:hAnsi="Times New Roman" w:cs="Times New Roman"/>
          <w:strike/>
          <w:sz w:val="20"/>
          <w:szCs w:val="20"/>
          <w:highlight w:val="yellow"/>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Excess emissions and continuous monitoring system performance report and summary report. </w:t>
      </w:r>
      <w:r w:rsidRPr="006D4EE5">
        <w:rPr>
          <w:rFonts w:ascii="Times New Roman" w:hAnsi="Times New Roman" w:cs="Times New Roman"/>
          <w:strike/>
          <w:sz w:val="20"/>
          <w:szCs w:val="20"/>
          <w:highlight w:val="yellow"/>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More frequent reporting is specifically required by a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Administrator determines on a case-by-case basis that more frequent reporting is necessary to accurately assess the compliance status of the source;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The affected source is complying with the Performance Track Provisions of §63.16, which allows less frequent reporting.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 </w:t>
      </w:r>
      <w:r w:rsidRPr="006D4EE5">
        <w:rPr>
          <w:rFonts w:ascii="Times New Roman" w:hAnsi="Times New Roman" w:cs="Times New Roman"/>
          <w:i/>
          <w:iCs/>
          <w:strike/>
          <w:sz w:val="20"/>
          <w:szCs w:val="20"/>
          <w:highlight w:val="yellow"/>
        </w:rPr>
        <w:t xml:space="preserve">Request to reduce frequency of excess emissions and continuous monitoring system performance reports. </w:t>
      </w:r>
      <w:r w:rsidRPr="006D4EE5">
        <w:rPr>
          <w:rFonts w:ascii="Times New Roman" w:hAnsi="Times New Roman" w:cs="Times New Roman"/>
          <w:strike/>
          <w:sz w:val="20"/>
          <w:szCs w:val="20"/>
          <w:highlight w:val="yellow"/>
        </w:rPr>
        <w:t>Notwithstanding the frequency of reporting requirements specified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For 1 full year (e.g., 4 quarterly or 12 monthly reporting periods) the affected source's excess emissions and continuous monitoring system performance reports continually demonstrate that the source is in compliance with the relevant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owner or operator continues to comply with all recordkeeping and monitoring requirements specified in this subpart and the relevant standard;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Administrator does not object to a reduced frequency of reporting for the affected source, as provided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The frequency of reporting of excess emissions and continuous monitoring system performance (and summary) reports required to comply with a relevant standard may be reduced only after the owner or operator notifies the Administrator in writing </w:t>
      </w:r>
      <w:r w:rsidRPr="006D4EE5">
        <w:rPr>
          <w:rFonts w:ascii="Times New Roman" w:hAnsi="Times New Roman" w:cs="Times New Roman"/>
          <w:strike/>
          <w:sz w:val="20"/>
          <w:szCs w:val="20"/>
          <w:highlight w:val="yellow"/>
        </w:rPr>
        <w:lastRenderedPageBreak/>
        <w:t>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(v) </w:t>
      </w:r>
      <w:r w:rsidRPr="006D4EE5">
        <w:rPr>
          <w:rFonts w:ascii="Times New Roman" w:hAnsi="Times New Roman" w:cs="Times New Roman"/>
          <w:i/>
          <w:iCs/>
          <w:strike/>
          <w:sz w:val="20"/>
          <w:szCs w:val="20"/>
          <w:highlight w:val="yellow"/>
        </w:rPr>
        <w:t xml:space="preserve">Content and submittal dates for excess emissions and monitoring system performance reports. </w:t>
      </w:r>
      <w:r w:rsidRPr="006D4EE5">
        <w:rPr>
          <w:rFonts w:ascii="Times New Roman" w:hAnsi="Times New Roman" w:cs="Times New Roman"/>
          <w:strike/>
          <w:sz w:val="20"/>
          <w:szCs w:val="20"/>
          <w:highlight w:val="yellow"/>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(vi) </w:t>
      </w:r>
      <w:r w:rsidRPr="006D4EE5">
        <w:rPr>
          <w:rFonts w:ascii="Times New Roman" w:hAnsi="Times New Roman" w:cs="Times New Roman"/>
          <w:i/>
          <w:iCs/>
          <w:strike/>
          <w:sz w:val="20"/>
          <w:szCs w:val="20"/>
          <w:highlight w:val="yellow"/>
        </w:rPr>
        <w:t>Summary</w:t>
      </w:r>
      <w:proofErr w:type="gramEnd"/>
      <w:r w:rsidRPr="006D4EE5">
        <w:rPr>
          <w:rFonts w:ascii="Times New Roman" w:hAnsi="Times New Roman" w:cs="Times New Roman"/>
          <w:i/>
          <w:iCs/>
          <w:strike/>
          <w:sz w:val="20"/>
          <w:szCs w:val="20"/>
          <w:highlight w:val="yellow"/>
        </w:rPr>
        <w:t xml:space="preserve"> report. </w:t>
      </w:r>
      <w:r w:rsidRPr="006D4EE5">
        <w:rPr>
          <w:rFonts w:ascii="Times New Roman" w:hAnsi="Times New Roman" w:cs="Times New Roman"/>
          <w:strike/>
          <w:sz w:val="20"/>
          <w:szCs w:val="20"/>
          <w:highlight w:val="yellow"/>
        </w:rPr>
        <w:t>As required under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The company name and address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An identification of each hazardous air pollutant monitored at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beginning and ending dates of the reporting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A brief description of the process units;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emission and operating parameter limitations specified in the relevant standard(s);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The monitoring equipment manufacturer(s) and model number(s);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The date of the latest CMS certification or audit;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The total operating time of the affected source during the reporting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A description of any changes in CMS, processes, or controls since the last reporting period;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(L) The name, title, and signature of the responsible official who is certifying the accuracy of the report;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(M) The date of the report.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Reporting continuous opacity monitoring system data produced during a performance test. </w:t>
      </w:r>
      <w:r w:rsidRPr="006D4EE5">
        <w:rPr>
          <w:rFonts w:ascii="Times New Roman" w:hAnsi="Times New Roman" w:cs="Times New Roman"/>
          <w:strike/>
          <w:sz w:val="20"/>
          <w:szCs w:val="20"/>
          <w:highlight w:val="yellow"/>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(f) </w:t>
      </w:r>
      <w:r w:rsidRPr="006D4EE5">
        <w:rPr>
          <w:rFonts w:ascii="Times New Roman" w:hAnsi="Times New Roman" w:cs="Times New Roman"/>
          <w:i/>
          <w:iCs/>
          <w:strike/>
          <w:sz w:val="20"/>
          <w:szCs w:val="20"/>
          <w:highlight w:val="yellow"/>
        </w:rPr>
        <w:t xml:space="preserve">Waiver of recordkeeping or reporting requirements. </w:t>
      </w:r>
      <w:r w:rsidRPr="006D4EE5">
        <w:rPr>
          <w:rFonts w:ascii="Times New Roman" w:hAnsi="Times New Roman" w:cs="Times New Roman"/>
          <w:strike/>
          <w:sz w:val="20"/>
          <w:szCs w:val="20"/>
          <w:highlight w:val="yellow"/>
        </w:rPr>
        <w:t>(1) Until a waiver of a recordkeeping or reporting requirement has been granted by the Administrator under this paragraph, the owner or operator of an affected source remains subject to the requirements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Administrator will approve or deny a request for a waiver of recordkeeping or reporting requirements under this paragraph when he/she—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Approves or denies an extension of compliance;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Makes a determination of compliance following the submission of a required compliance status report or excess emissions and continuous monitoring systems performance report;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Makes a determination of suitable progress towards compliance following the submission of a compliance progress report, whichever is applicable.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 A waiver of any recordkeeping or reporting requirement granted under this paragraph may be conditioned on other recordkeeping or reporting requirements deemed necessary by the Administrator.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64 FR 7468, Feb. 12, 1999; 67 FR 16604, Apr. 5, 2002; 68 FR 32601, May 30, 2003; 69 FR 21752, Apr. 22, 2004; 71 FR 20455, Apr. 20, 2006]</w:t>
      </w:r>
    </w:p>
    <w:p w:rsidR="00EB7550" w:rsidRPr="006D4EE5" w:rsidRDefault="00EB7550" w:rsidP="00EB7550">
      <w:pPr>
        <w:pStyle w:val="Heading5"/>
        <w:jc w:val="both"/>
        <w:rPr>
          <w:strike/>
          <w:sz w:val="20"/>
          <w:szCs w:val="20"/>
          <w:highlight w:val="yellow"/>
        </w:rPr>
      </w:pPr>
      <w:r w:rsidRPr="006D4EE5">
        <w:rPr>
          <w:strike/>
          <w:sz w:val="20"/>
          <w:szCs w:val="20"/>
          <w:highlight w:val="yellow"/>
        </w:rPr>
        <w:t>§ 63.11   Control device and work practice requirements.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Applicability. </w:t>
      </w:r>
      <w:r w:rsidRPr="006D4EE5">
        <w:rPr>
          <w:rFonts w:ascii="Times New Roman" w:hAnsi="Times New Roman" w:cs="Times New Roman"/>
          <w:strike/>
          <w:sz w:val="20"/>
          <w:szCs w:val="20"/>
          <w:highlight w:val="yellow"/>
        </w:rPr>
        <w:t>(1) The applicability of this section is set out in §63.1(a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This section contains requirements for control devices used to comply with applicable subparts of this part. The requirements are placed here for administrative convenience and apply only to facilities covered by subparts referring to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6D4EE5">
        <w:rPr>
          <w:rFonts w:ascii="Times New Roman" w:hAnsi="Times New Roman" w:cs="Times New Roman"/>
          <w:strike/>
          <w:sz w:val="20"/>
          <w:szCs w:val="20"/>
          <w:highlight w:val="yellow"/>
        </w:rPr>
        <w:t>Method</w:t>
      </w:r>
      <w:proofErr w:type="gramEnd"/>
      <w:r w:rsidRPr="006D4EE5">
        <w:rPr>
          <w:rFonts w:ascii="Times New Roman" w:hAnsi="Times New Roman" w:cs="Times New Roman"/>
          <w:strike/>
          <w:sz w:val="20"/>
          <w:szCs w:val="20"/>
          <w:highlight w:val="yellow"/>
        </w:rPr>
        <w:t xml:space="preserve"> 21 monitor.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(b) </w:t>
      </w:r>
      <w:r w:rsidRPr="006D4EE5">
        <w:rPr>
          <w:rFonts w:ascii="Times New Roman" w:hAnsi="Times New Roman" w:cs="Times New Roman"/>
          <w:i/>
          <w:iCs/>
          <w:strike/>
          <w:sz w:val="20"/>
          <w:szCs w:val="20"/>
          <w:highlight w:val="yellow"/>
        </w:rPr>
        <w:t xml:space="preserve">Flares. </w:t>
      </w:r>
      <w:r w:rsidRPr="006D4EE5">
        <w:rPr>
          <w:rFonts w:ascii="Times New Roman" w:hAnsi="Times New Roman" w:cs="Times New Roman"/>
          <w:strike/>
          <w:sz w:val="20"/>
          <w:szCs w:val="20"/>
          <w:highlight w:val="yellow"/>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Flares shall be steam-assisted, air-assisted, or non-assisted.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Flares shall be operated at all times when emissions may be vented to them.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Flares shall be operated with a flame present at all times. The presence of a flare pilot flame shall be monitored using a thermocouple or any other equivalent device to detect the presence of a flame.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An owner/operator has the choice of adhering to the heat content specifications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6)(ii) of this section, and the maximum tip velocity specifications in paragraph (b)(7) or (b)(8) of this section, or adhering to the requirements in paragraph (b)(6)(i)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w:t>
      </w:r>
      <w:proofErr w:type="gramEnd"/>
      <w:r w:rsidRPr="006D4EE5">
        <w:rPr>
          <w:rFonts w:ascii="Times New Roman" w:hAnsi="Times New Roman" w:cs="Times New Roman"/>
          <w:strike/>
          <w:sz w:val="20"/>
          <w:szCs w:val="20"/>
          <w:highlight w:val="yellow"/>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as determined by the following equation:</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H2</w:t>
      </w:r>
      <w:r w:rsidRPr="006D4EE5">
        <w:rPr>
          <w:rFonts w:ascii="Times New Roman" w:hAnsi="Times New Roman" w:cs="Times New Roman"/>
          <w:strike/>
          <w:sz w:val="20"/>
          <w:szCs w:val="20"/>
          <w:highlight w:val="yellow"/>
        </w:rPr>
        <w:t>−K</w:t>
      </w:r>
      <w:r w:rsidRPr="006D4EE5">
        <w:rPr>
          <w:rFonts w:ascii="Times New Roman" w:hAnsi="Times New Roman" w:cs="Times New Roman"/>
          <w:strike/>
          <w:sz w:val="20"/>
          <w:szCs w:val="20"/>
          <w:highlight w:val="yellow"/>
          <w:vertAlign w:val="subscript"/>
        </w:rPr>
        <w:t>1</w:t>
      </w:r>
      <w:r w:rsidRPr="006D4EE5">
        <w:rPr>
          <w:rFonts w:ascii="Times New Roman" w:hAnsi="Times New Roman" w:cs="Times New Roman"/>
          <w:strike/>
          <w:sz w:val="20"/>
          <w:szCs w:val="20"/>
          <w:highlight w:val="yellow"/>
        </w:rPr>
        <w:t>)* K</w:t>
      </w:r>
      <w:r w:rsidRPr="006D4EE5">
        <w:rPr>
          <w:rFonts w:ascii="Times New Roman" w:hAnsi="Times New Roman" w:cs="Times New Roman"/>
          <w:strike/>
          <w:sz w:val="20"/>
          <w:szCs w:val="20"/>
          <w:highlight w:val="yellow"/>
          <w:vertAlign w:val="subscript"/>
        </w:rPr>
        <w:t>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w:t>
      </w:r>
      <w:r w:rsidRPr="006D4EE5">
        <w:rPr>
          <w:rFonts w:ascii="Times New Roman" w:hAnsi="Times New Roman" w:cs="Times New Roman"/>
          <w:strike/>
          <w:sz w:val="20"/>
          <w:szCs w:val="20"/>
          <w:highlight w:val="yellow"/>
          <w:vertAlign w:val="subscript"/>
        </w:rPr>
        <w:t>1</w:t>
      </w:r>
      <w:r w:rsidRPr="006D4EE5">
        <w:rPr>
          <w:rFonts w:ascii="Times New Roman" w:hAnsi="Times New Roman" w:cs="Times New Roman"/>
          <w:strike/>
          <w:sz w:val="20"/>
          <w:szCs w:val="20"/>
          <w:highlight w:val="yellow"/>
        </w:rPr>
        <w:t>=Constant, 6.0 volume-percent hydrogen.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K</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=Constant, 3.9(m/sec)/volume-percent hydrogen.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H2</w:t>
      </w: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The</w:t>
      </w:r>
      <w:proofErr w:type="gramEnd"/>
      <w:r w:rsidRPr="006D4EE5">
        <w:rPr>
          <w:rFonts w:ascii="Times New Roman" w:hAnsi="Times New Roman" w:cs="Times New Roman"/>
          <w:strike/>
          <w:sz w:val="20"/>
          <w:szCs w:val="20"/>
          <w:highlight w:val="yellow"/>
        </w:rPr>
        <w:t xml:space="preserve"> volume-percent of hydrogen, on a wet basis, as calculated by using the American Society for Testing and Materials (ASTM) Method D1946–77. (Incorporated by reference as specified in §63.14).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actual exit velocity of a flare shall be determined by the method specified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EB7550" w:rsidRPr="006D4EE5" w:rsidRDefault="00C718A9" w:rsidP="00EB7550">
      <w:pPr>
        <w:jc w:val="both"/>
        <w:rPr>
          <w:rStyle w:val="updatebodytest1"/>
          <w:rFonts w:ascii="Times New Roman" w:hAnsi="Times New Roman" w:cs="Times New Roman"/>
          <w:strike/>
          <w:sz w:val="20"/>
          <w:szCs w:val="20"/>
          <w:highlight w:val="yellow"/>
        </w:rPr>
      </w:pPr>
      <w:r w:rsidRPr="006D4EE5">
        <w:rPr>
          <w:strike/>
          <w:noProof/>
          <w:sz w:val="20"/>
          <w:highlight w:val="yellow"/>
        </w:rPr>
        <w:drawing>
          <wp:inline distT="0" distB="0" distL="0" distR="0">
            <wp:extent cx="998855" cy="421005"/>
            <wp:effectExtent l="0" t="0" r="0" b="0"/>
            <wp:docPr id="13" name="Picture 1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04my9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98855" cy="421005"/>
                    </a:xfrm>
                    <a:prstGeom prst="rect">
                      <a:avLst/>
                    </a:prstGeom>
                    <a:noFill/>
                    <a:ln>
                      <a:noFill/>
                    </a:ln>
                  </pic:spPr>
                </pic:pic>
              </a:graphicData>
            </a:graphic>
          </wp:inline>
        </w:drawing>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=Net heating value of the sample, MJ/scm; where the net enthalpy per mole of offgas is based on combustion at 25 °C and 760 mm Hg, but the standard temperature for determining the volume corresponding to one mole is 20 °C.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K=Constant=</w:t>
      </w:r>
    </w:p>
    <w:p w:rsidR="00EB7550" w:rsidRPr="006D4EE5" w:rsidRDefault="00C718A9" w:rsidP="00EB7550">
      <w:pPr>
        <w:jc w:val="both"/>
        <w:rPr>
          <w:rStyle w:val="updatebodytest1"/>
          <w:rFonts w:ascii="Times New Roman" w:hAnsi="Times New Roman" w:cs="Times New Roman"/>
          <w:strike/>
          <w:sz w:val="20"/>
          <w:szCs w:val="20"/>
          <w:highlight w:val="yellow"/>
        </w:rPr>
      </w:pPr>
      <w:r w:rsidRPr="006D4EE5">
        <w:rPr>
          <w:strike/>
          <w:noProof/>
          <w:sz w:val="20"/>
          <w:highlight w:val="yellow"/>
        </w:rPr>
        <w:drawing>
          <wp:inline distT="0" distB="0" distL="0" distR="0">
            <wp:extent cx="2333625" cy="465455"/>
            <wp:effectExtent l="0" t="0" r="0" b="0"/>
            <wp:docPr id="14" name="Picture 14"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04my9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33625" cy="465455"/>
                    </a:xfrm>
                    <a:prstGeom prst="rect">
                      <a:avLst/>
                    </a:prstGeom>
                    <a:noFill/>
                    <a:ln>
                      <a:noFill/>
                    </a:ln>
                  </pic:spPr>
                </pic:pic>
              </a:graphicData>
            </a:graphic>
          </wp:inline>
        </w:drawing>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where</w:t>
      </w:r>
      <w:proofErr w:type="gramEnd"/>
      <w:r w:rsidRPr="006D4EE5">
        <w:rPr>
          <w:rFonts w:ascii="Times New Roman" w:hAnsi="Times New Roman" w:cs="Times New Roman"/>
          <w:strike/>
          <w:sz w:val="20"/>
          <w:szCs w:val="20"/>
          <w:highlight w:val="yellow"/>
        </w:rPr>
        <w:t xml:space="preserve"> the standard temperature for (g-mole/scm) is 20 °C.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i</w:t>
      </w:r>
      <w:r w:rsidRPr="006D4EE5">
        <w:rPr>
          <w:rFonts w:ascii="Times New Roman" w:hAnsi="Times New Roman" w:cs="Times New Roman"/>
          <w:strike/>
          <w:sz w:val="20"/>
          <w:szCs w:val="20"/>
          <w:highlight w:val="yellow"/>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n=Number of sample components.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Steam-assisted and nonassisted flares designed for and operated with an exit velocity, as determined by the method specified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7)(i) of this section, equal to or greater than 18.3 m/sec (60 ft/sec) but less than 122 m/sec (400 ft/sec), are allowed if the net heating value of the gas being combusted is greater than 37.3 MJ/scm (1,000 Btu/scf).</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(iii) Steam-assisted and nonassisted flares designed for and operated with an exit velocity, as determined by the method specified in paragraph (b)(7)(i) of this section,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xml:space="preserve">, as determined by the method specified in this paragraph, but </w:t>
      </w:r>
      <w:r w:rsidRPr="006D4EE5">
        <w:rPr>
          <w:rFonts w:ascii="Times New Roman" w:hAnsi="Times New Roman" w:cs="Times New Roman"/>
          <w:strike/>
          <w:sz w:val="20"/>
          <w:szCs w:val="20"/>
          <w:highlight w:val="yellow"/>
        </w:rPr>
        <w:lastRenderedPageBreak/>
        <w:t xml:space="preserve">less than 122 m/sec (400 ft/sec) are allowed. The maximum permitted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for flares complying with this paragraph shall be determined by the following equation:</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Log</w:t>
      </w:r>
      <w:r w:rsidRPr="006D4EE5">
        <w:rPr>
          <w:rFonts w:ascii="Times New Roman" w:hAnsi="Times New Roman" w:cs="Times New Roman"/>
          <w:strike/>
          <w:sz w:val="20"/>
          <w:szCs w:val="20"/>
          <w:highlight w:val="yellow"/>
          <w:vertAlign w:val="subscript"/>
        </w:rPr>
        <w:t>10</w:t>
      </w:r>
      <w:r w:rsidRPr="006D4EE5">
        <w:rPr>
          <w:rFonts w:ascii="Times New Roman" w:hAnsi="Times New Roman" w:cs="Times New Roman"/>
          <w:strike/>
          <w:sz w:val="20"/>
          <w:szCs w:val="20"/>
          <w:highlight w:val="yellow"/>
        </w:rPr>
        <w:t>(</w:t>
      </w:r>
      <w:proofErr w:type="spellStart"/>
      <w:proofErr w:type="gramEnd"/>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+28.8)/31.7</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28.8=Constant.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31.7=Constant.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=The net heating value as determined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(8) Air-assisted flares shall be designed and operated with an exit velocity less than the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xml:space="preserve">. The maximum permitted velocity, </w:t>
      </w: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 for air-assisted flares shall be determined by the following equation:</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=8.71+0.708(H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jc w:val="both"/>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V</w:t>
      </w:r>
      <w:r w:rsidRPr="006D4EE5">
        <w:rPr>
          <w:rFonts w:ascii="Times New Roman" w:hAnsi="Times New Roman" w:cs="Times New Roman"/>
          <w:strike/>
          <w:sz w:val="20"/>
          <w:szCs w:val="20"/>
          <w:highlight w:val="yellow"/>
          <w:vertAlign w:val="subscript"/>
        </w:rPr>
        <w:t>max</w:t>
      </w:r>
      <w:proofErr w:type="spellEnd"/>
      <w:r w:rsidRPr="006D4EE5">
        <w:rPr>
          <w:rFonts w:ascii="Times New Roman" w:hAnsi="Times New Roman" w:cs="Times New Roman"/>
          <w:strike/>
          <w:sz w:val="20"/>
          <w:szCs w:val="20"/>
          <w:highlight w:val="yellow"/>
        </w:rPr>
        <w:t>=Maximum permitted velocity, m/sec.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8.71=Constant.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0.708=Constant.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w:t>
      </w:r>
      <w:r w:rsidRPr="006D4EE5">
        <w:rPr>
          <w:rFonts w:ascii="Times New Roman" w:hAnsi="Times New Roman" w:cs="Times New Roman"/>
          <w:strike/>
          <w:sz w:val="20"/>
          <w:szCs w:val="20"/>
          <w:highlight w:val="yellow"/>
          <w:vertAlign w:val="subscript"/>
        </w:rPr>
        <w:t>T</w:t>
      </w:r>
      <w:r w:rsidRPr="006D4EE5">
        <w:rPr>
          <w:rFonts w:ascii="Times New Roman" w:hAnsi="Times New Roman" w:cs="Times New Roman"/>
          <w:strike/>
          <w:sz w:val="20"/>
          <w:szCs w:val="20"/>
          <w:highlight w:val="yellow"/>
        </w:rPr>
        <w:t>=The net heating value as determined in paragraph (b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w:t>
      </w:r>
      <w:r w:rsidRPr="006D4EE5">
        <w:rPr>
          <w:rFonts w:ascii="Times New Roman" w:hAnsi="Times New Roman" w:cs="Times New Roman"/>
          <w:i/>
          <w:iCs/>
          <w:strike/>
          <w:sz w:val="20"/>
          <w:szCs w:val="20"/>
          <w:highlight w:val="yellow"/>
        </w:rPr>
        <w:t xml:space="preserve">Alternative work practice for monitoring equipment for leaks. </w:t>
      </w:r>
      <w:r w:rsidRPr="006D4EE5">
        <w:rPr>
          <w:rFonts w:ascii="Times New Roman" w:hAnsi="Times New Roman" w:cs="Times New Roman"/>
          <w:strike/>
          <w:sz w:val="20"/>
          <w:szCs w:val="20"/>
          <w:highlight w:val="yellow"/>
        </w:rPr>
        <w:t xml:space="preserve">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6D4EE5">
        <w:rPr>
          <w:rFonts w:ascii="Times New Roman" w:hAnsi="Times New Roman" w:cs="Times New Roman"/>
          <w:strike/>
          <w:sz w:val="20"/>
          <w:szCs w:val="20"/>
          <w:highlight w:val="yellow"/>
        </w:rPr>
        <w:t>sppendix</w:t>
      </w:r>
      <w:proofErr w:type="spellEnd"/>
      <w:r w:rsidRPr="006D4EE5">
        <w:rPr>
          <w:rFonts w:ascii="Times New Roman" w:hAnsi="Times New Roman" w:cs="Times New Roman"/>
          <w:strike/>
          <w:sz w:val="20"/>
          <w:szCs w:val="20"/>
          <w:highlight w:val="yellow"/>
        </w:rPr>
        <w:t xml:space="preserve"> A–7, </w:t>
      </w:r>
      <w:proofErr w:type="gramStart"/>
      <w:r w:rsidRPr="006D4EE5">
        <w:rPr>
          <w:rFonts w:ascii="Times New Roman" w:hAnsi="Times New Roman" w:cs="Times New Roman"/>
          <w:strike/>
          <w:sz w:val="20"/>
          <w:szCs w:val="20"/>
          <w:highlight w:val="yellow"/>
        </w:rPr>
        <w:t>Method</w:t>
      </w:r>
      <w:proofErr w:type="gramEnd"/>
      <w:r w:rsidRPr="006D4EE5">
        <w:rPr>
          <w:rFonts w:ascii="Times New Roman" w:hAnsi="Times New Roman" w:cs="Times New Roman"/>
          <w:strike/>
          <w:sz w:val="20"/>
          <w:szCs w:val="20"/>
          <w:highlight w:val="yellow"/>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(5) of this section have meanings that are specific to the alternative work practice standard in paragraphs (c), (d), and (e)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Applicable subpart </w:t>
      </w:r>
      <w:r w:rsidRPr="006D4EE5">
        <w:rPr>
          <w:rFonts w:ascii="Times New Roman" w:hAnsi="Times New Roman" w:cs="Times New Roman"/>
          <w:strike/>
          <w:sz w:val="20"/>
          <w:szCs w:val="20"/>
          <w:highlight w:val="yellow"/>
        </w:rPr>
        <w:t xml:space="preserve">means the subpart in 40 CFR parts 60, 61, 63, and 65 that requires monitoring of equipment with a 40 CFR part 60, appendix A–7, </w:t>
      </w:r>
      <w:proofErr w:type="gramStart"/>
      <w:r w:rsidRPr="006D4EE5">
        <w:rPr>
          <w:rFonts w:ascii="Times New Roman" w:hAnsi="Times New Roman" w:cs="Times New Roman"/>
          <w:strike/>
          <w:sz w:val="20"/>
          <w:szCs w:val="20"/>
          <w:highlight w:val="yellow"/>
        </w:rPr>
        <w:t>Method</w:t>
      </w:r>
      <w:proofErr w:type="gramEnd"/>
      <w:r w:rsidRPr="006D4EE5">
        <w:rPr>
          <w:rFonts w:ascii="Times New Roman" w:hAnsi="Times New Roman" w:cs="Times New Roman"/>
          <w:strike/>
          <w:sz w:val="20"/>
          <w:szCs w:val="20"/>
          <w:highlight w:val="yellow"/>
        </w:rPr>
        <w:t xml:space="preserve"> 21 monitor.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Equipment </w:t>
      </w:r>
      <w:r w:rsidRPr="006D4EE5">
        <w:rPr>
          <w:rFonts w:ascii="Times New Roman" w:hAnsi="Times New Roman" w:cs="Times New Roman"/>
          <w:strike/>
          <w:sz w:val="20"/>
          <w:szCs w:val="20"/>
          <w:highlight w:val="yellow"/>
        </w:rPr>
        <w:t>means pumps, valves, pressure relief valves, compressors, open-ended lines, flanges, connectors, and other equipment covered by the applicable subpart that require monitoring with a 40 CFR part 60, appendix A–7, Method 21 monitor.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Imaging </w:t>
      </w:r>
      <w:r w:rsidRPr="006D4EE5">
        <w:rPr>
          <w:rFonts w:ascii="Times New Roman" w:hAnsi="Times New Roman" w:cs="Times New Roman"/>
          <w:strike/>
          <w:sz w:val="20"/>
          <w:szCs w:val="20"/>
          <w:highlight w:val="yellow"/>
        </w:rPr>
        <w:t>means making visible emissions that may otherwise be invisible to the naked eye.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Optical gas imaging instrument </w:t>
      </w:r>
      <w:r w:rsidRPr="006D4EE5">
        <w:rPr>
          <w:rFonts w:ascii="Times New Roman" w:hAnsi="Times New Roman" w:cs="Times New Roman"/>
          <w:strike/>
          <w:sz w:val="20"/>
          <w:szCs w:val="20"/>
          <w:highlight w:val="yellow"/>
        </w:rPr>
        <w:t>means an instrument that makes visible emissions that may otherwise be invisible to the naked eye.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(5) </w:t>
      </w:r>
      <w:r w:rsidRPr="006D4EE5">
        <w:rPr>
          <w:rFonts w:ascii="Times New Roman" w:hAnsi="Times New Roman" w:cs="Times New Roman"/>
          <w:i/>
          <w:iCs/>
          <w:strike/>
          <w:sz w:val="20"/>
          <w:szCs w:val="20"/>
          <w:highlight w:val="yellow"/>
        </w:rPr>
        <w:t xml:space="preserve">Repair </w:t>
      </w:r>
      <w:r w:rsidRPr="006D4EE5">
        <w:rPr>
          <w:rFonts w:ascii="Times New Roman" w:hAnsi="Times New Roman" w:cs="Times New Roman"/>
          <w:strike/>
          <w:sz w:val="20"/>
          <w:szCs w:val="20"/>
          <w:highlight w:val="yellow"/>
        </w:rPr>
        <w:t>means that equipment is adjusted, or otherwise altered, in order to eliminate a leak.</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(6) </w:t>
      </w:r>
      <w:r w:rsidRPr="006D4EE5">
        <w:rPr>
          <w:rFonts w:ascii="Times New Roman" w:hAnsi="Times New Roman" w:cs="Times New Roman"/>
          <w:i/>
          <w:iCs/>
          <w:strike/>
          <w:sz w:val="20"/>
          <w:szCs w:val="20"/>
          <w:highlight w:val="yellow"/>
        </w:rPr>
        <w:t xml:space="preserve">Leak </w:t>
      </w:r>
      <w:r w:rsidRPr="006D4EE5">
        <w:rPr>
          <w:rFonts w:ascii="Times New Roman" w:hAnsi="Times New Roman" w:cs="Times New Roman"/>
          <w:strike/>
          <w:sz w:val="20"/>
          <w:szCs w:val="20"/>
          <w:highlight w:val="yellow"/>
        </w:rPr>
        <w:t>means: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Any emissions imaged by the optical gas instrument;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Indications of liquids dripping;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Indications by a sensor that a seal or barrier fluid system has failed; or</w:t>
      </w:r>
    </w:p>
    <w:p w:rsidR="00EB7550" w:rsidRPr="006D4EE5" w:rsidRDefault="00EB7550" w:rsidP="00EB7550">
      <w:pPr>
        <w:pStyle w:val="NormalWeb"/>
        <w:jc w:val="both"/>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Screening</w:t>
      </w:r>
      <w:proofErr w:type="gramEnd"/>
      <w:r w:rsidRPr="006D4EE5">
        <w:rPr>
          <w:rFonts w:ascii="Times New Roman" w:hAnsi="Times New Roman" w:cs="Times New Roman"/>
          <w:strike/>
          <w:sz w:val="20"/>
          <w:szCs w:val="20"/>
          <w:highlight w:val="yellow"/>
        </w:rPr>
        <w:t xml:space="preserve"> results using a 40 CFR part 60, appendix A–7, Method 21 monitor that exceed the leak definition in the applicable subpart to which the equipment is subject.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The alternative work practice standard for monitoring equipment for leaks is available to all subparts in 40 CFR parts 60, 61, 63, and 65 that require monitoring of equipment with a 40 CFR part 60, appendix A–7, </w:t>
      </w:r>
      <w:proofErr w:type="gramStart"/>
      <w:r w:rsidRPr="006D4EE5">
        <w:rPr>
          <w:rFonts w:ascii="Times New Roman" w:hAnsi="Times New Roman" w:cs="Times New Roman"/>
          <w:strike/>
          <w:sz w:val="20"/>
          <w:szCs w:val="20"/>
          <w:highlight w:val="yellow"/>
        </w:rPr>
        <w:t>Method</w:t>
      </w:r>
      <w:proofErr w:type="gramEnd"/>
      <w:r w:rsidRPr="006D4EE5">
        <w:rPr>
          <w:rFonts w:ascii="Times New Roman" w:hAnsi="Times New Roman" w:cs="Times New Roman"/>
          <w:strike/>
          <w:sz w:val="20"/>
          <w:szCs w:val="20"/>
          <w:highlight w:val="yellow"/>
        </w:rPr>
        <w:t xml:space="preserve"> 21 monitor.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6D4EE5">
        <w:rPr>
          <w:rFonts w:ascii="Times New Roman" w:hAnsi="Times New Roman" w:cs="Times New Roman"/>
          <w:strike/>
          <w:sz w:val="20"/>
          <w:szCs w:val="20"/>
          <w:highlight w:val="yellow"/>
        </w:rPr>
        <w:t>Method</w:t>
      </w:r>
      <w:proofErr w:type="gramEnd"/>
      <w:r w:rsidRPr="006D4EE5">
        <w:rPr>
          <w:rFonts w:ascii="Times New Roman" w:hAnsi="Times New Roman" w:cs="Times New Roman"/>
          <w:strike/>
          <w:sz w:val="20"/>
          <w:szCs w:val="20"/>
          <w:highlight w:val="yellow"/>
        </w:rPr>
        <w:t xml:space="preserve"> 21 monitor to identify leaking equipment. The owner or operator must document the equipment, process units, and facilities for which the alternative work practice will be used to identify leaks.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Any leak detected when following the leak survey procedure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of this section must be identified for repair as required in the applicable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The schedule for repair is as required in the applicable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When this alternative work practice is used for detecting leaking equipment, the following are not applicable for the equipment being monitored: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Skip period leak detection and repair;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Quality improvement plans; or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Complying with standards for allowable percentage of valves and pumps to leak.</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An owner or operator of an affected source who chooses to use the alternative work practice must comply with the requirements of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(e)(5)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(1) </w:t>
      </w:r>
      <w:r w:rsidRPr="006D4EE5">
        <w:rPr>
          <w:rFonts w:ascii="Times New Roman" w:hAnsi="Times New Roman" w:cs="Times New Roman"/>
          <w:i/>
          <w:iCs/>
          <w:strike/>
          <w:sz w:val="20"/>
          <w:szCs w:val="20"/>
          <w:highlight w:val="yellow"/>
        </w:rPr>
        <w:t xml:space="preserve">Instrument specifications. </w:t>
      </w:r>
      <w:r w:rsidRPr="006D4EE5">
        <w:rPr>
          <w:rFonts w:ascii="Times New Roman" w:hAnsi="Times New Roman" w:cs="Times New Roman"/>
          <w:strike/>
          <w:sz w:val="20"/>
          <w:szCs w:val="20"/>
          <w:highlight w:val="yellow"/>
        </w:rPr>
        <w:t>The optical gas imaging instrument must comply with the requirements specified in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 and (e)(1)(ii)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Provide the operator with an image of the potential leak points for each piece of equipment at both the detection sensitivity level and within the distance used in the daily instrument check described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of this section. The detection sensitivity level depends upon the frequency at which leak monitoring is to be performed.</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Provide a date and time stamp for video records of every monitoring event.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w:t>
      </w:r>
      <w:r w:rsidRPr="006D4EE5">
        <w:rPr>
          <w:rFonts w:ascii="Times New Roman" w:hAnsi="Times New Roman" w:cs="Times New Roman"/>
          <w:i/>
          <w:iCs/>
          <w:strike/>
          <w:sz w:val="20"/>
          <w:szCs w:val="20"/>
          <w:highlight w:val="yellow"/>
        </w:rPr>
        <w:t xml:space="preserve">Daily instrument check. </w:t>
      </w:r>
      <w:r w:rsidRPr="006D4EE5">
        <w:rPr>
          <w:rFonts w:ascii="Times New Roman" w:hAnsi="Times New Roman" w:cs="Times New Roman"/>
          <w:strike/>
          <w:sz w:val="20"/>
          <w:szCs w:val="20"/>
          <w:highlight w:val="yellow"/>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Calculate the mass flow rate to be used in the daily instrument check by following the procedures in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2)(i)(A) and (e)(2)(i)(B)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EB7550" w:rsidRPr="006D4EE5" w:rsidRDefault="00C718A9" w:rsidP="00EB7550">
      <w:pPr>
        <w:rPr>
          <w:rStyle w:val="updatebodytest1"/>
          <w:rFonts w:ascii="Times New Roman" w:hAnsi="Times New Roman" w:cs="Times New Roman"/>
          <w:strike/>
          <w:sz w:val="20"/>
          <w:szCs w:val="20"/>
          <w:highlight w:val="yellow"/>
        </w:rPr>
      </w:pPr>
      <w:r w:rsidRPr="006D4EE5">
        <w:rPr>
          <w:strike/>
          <w:noProof/>
          <w:sz w:val="20"/>
          <w:highlight w:val="yellow"/>
        </w:rPr>
        <w:drawing>
          <wp:inline distT="0" distB="0" distL="0" distR="0">
            <wp:extent cx="824865" cy="353695"/>
            <wp:effectExtent l="0" t="0" r="0" b="0"/>
            <wp:docPr id="15" name="Picture 15"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22de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4865" cy="353695"/>
                    </a:xfrm>
                    <a:prstGeom prst="rect">
                      <a:avLst/>
                    </a:prstGeom>
                    <a:noFill/>
                    <a:ln>
                      <a:noFill/>
                    </a:ln>
                  </pic:spPr>
                </pic:pic>
              </a:graphicData>
            </a:graphic>
          </wp:inline>
        </w:drawing>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Where:</w:t>
      </w:r>
    </w:p>
    <w:p w:rsidR="00EB7550" w:rsidRPr="006D4EE5" w:rsidRDefault="00EB7550" w:rsidP="00EB7550">
      <w:pPr>
        <w:pStyle w:val="NormalWeb"/>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dic</w:t>
      </w:r>
      <w:proofErr w:type="spellEnd"/>
      <w:r w:rsidRPr="006D4EE5">
        <w:rPr>
          <w:rFonts w:ascii="Times New Roman" w:hAnsi="Times New Roman" w:cs="Times New Roman"/>
          <w:strike/>
          <w:sz w:val="20"/>
          <w:szCs w:val="20"/>
          <w:highlight w:val="yellow"/>
        </w:rPr>
        <w:t>= Mass flow rate for the daily instrument check, grams per hour</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x</w:t>
      </w:r>
      <w:r w:rsidRPr="006D4EE5">
        <w:rPr>
          <w:rFonts w:ascii="Times New Roman" w:hAnsi="Times New Roman" w:cs="Times New Roman"/>
          <w:strike/>
          <w:sz w:val="20"/>
          <w:szCs w:val="20"/>
          <w:highlight w:val="yellow"/>
          <w:vertAlign w:val="subscript"/>
        </w:rPr>
        <w:t>i</w:t>
      </w:r>
      <w:proofErr w:type="gramEnd"/>
      <w:r w:rsidRPr="006D4EE5">
        <w:rPr>
          <w:rFonts w:ascii="Times New Roman" w:hAnsi="Times New Roman" w:cs="Times New Roman"/>
          <w:strike/>
          <w:sz w:val="20"/>
          <w:szCs w:val="20"/>
          <w:highlight w:val="yellow"/>
        </w:rPr>
        <w:t xml:space="preserve">= Mass fraction of detectable chemical(s) i seen by the optical gas imaging instrument, within the distance to be used in paragraph (e)(2)(iv)(B) of this section, at or below the standard detection sensitivity level, </w:t>
      </w: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sds</w:t>
      </w:r>
      <w:proofErr w:type="spellEnd"/>
      <w:r w:rsidRPr="006D4EE5">
        <w:rPr>
          <w:rFonts w:ascii="Times New Roman" w:hAnsi="Times New Roman" w:cs="Times New Roman"/>
          <w:strike/>
          <w:sz w:val="20"/>
          <w:szCs w:val="20"/>
          <w:highlight w:val="yellow"/>
        </w:rPr>
        <w:t>.</w:t>
      </w:r>
    </w:p>
    <w:p w:rsidR="00EB7550" w:rsidRPr="006D4EE5" w:rsidRDefault="00EB7550" w:rsidP="00EB7550">
      <w:pPr>
        <w:pStyle w:val="NormalWeb"/>
        <w:rPr>
          <w:rFonts w:ascii="Times New Roman" w:hAnsi="Times New Roman" w:cs="Times New Roman"/>
          <w:strike/>
          <w:sz w:val="20"/>
          <w:szCs w:val="20"/>
          <w:highlight w:val="yellow"/>
        </w:rPr>
      </w:pPr>
      <w:proofErr w:type="spellStart"/>
      <w:r w:rsidRPr="006D4EE5">
        <w:rPr>
          <w:rFonts w:ascii="Times New Roman" w:hAnsi="Times New Roman" w:cs="Times New Roman"/>
          <w:strike/>
          <w:sz w:val="20"/>
          <w:szCs w:val="20"/>
          <w:highlight w:val="yellow"/>
        </w:rPr>
        <w:t>E</w:t>
      </w:r>
      <w:r w:rsidRPr="006D4EE5">
        <w:rPr>
          <w:rFonts w:ascii="Times New Roman" w:hAnsi="Times New Roman" w:cs="Times New Roman"/>
          <w:strike/>
          <w:sz w:val="20"/>
          <w:szCs w:val="20"/>
          <w:highlight w:val="yellow"/>
          <w:vertAlign w:val="subscript"/>
        </w:rPr>
        <w:t>sds</w:t>
      </w:r>
      <w:proofErr w:type="spellEnd"/>
      <w:r w:rsidRPr="006D4EE5">
        <w:rPr>
          <w:rFonts w:ascii="Times New Roman" w:hAnsi="Times New Roman" w:cs="Times New Roman"/>
          <w:strike/>
          <w:sz w:val="20"/>
          <w:szCs w:val="20"/>
          <w:highlight w:val="yellow"/>
        </w:rPr>
        <w:t>= Standard detection sensitivity level from Table 1 to subpart A, grams per hour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 Total number of detectable chemicals emitted from the leaking equipment and seen by the optical gas imaging instrument.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Start the optical gas imaging instrument according to the manufacturer's instructions, ensuring that all appropriate settings conform to the manufacturer's instructions.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Use any gas chosen by the user that can be viewed by the optical gas imaging instrument and that has a purity of no less than 98 percent.</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(iv) Establish</w:t>
      </w:r>
      <w:proofErr w:type="gramEnd"/>
      <w:r w:rsidRPr="006D4EE5">
        <w:rPr>
          <w:rFonts w:ascii="Times New Roman" w:hAnsi="Times New Roman" w:cs="Times New Roman"/>
          <w:strike/>
          <w:sz w:val="20"/>
          <w:szCs w:val="20"/>
          <w:highlight w:val="yellow"/>
        </w:rPr>
        <w:t xml:space="preserve"> a mass flow rate by using the following procedures: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Provide a source of gas where it will be in the field of view of the optical gas imaging instrument.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Set up the optical gas imaging instrument at a recorded distance from the outlet or leak orifice of the flow meter that will not be exceeded in the actual performance of the leak survey. Do not exceed the operating parameters of the flow meter.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Repeat the procedures specified in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2)(ii) through (e)(2)(iv) of this section for each configuration of the optical gas imaging instrument used during the leak survey.</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(vi) To</w:t>
      </w:r>
      <w:proofErr w:type="gramEnd"/>
      <w:r w:rsidRPr="006D4EE5">
        <w:rPr>
          <w:rFonts w:ascii="Times New Roman" w:hAnsi="Times New Roman" w:cs="Times New Roman"/>
          <w:strike/>
          <w:sz w:val="20"/>
          <w:szCs w:val="20"/>
          <w:highlight w:val="yellow"/>
        </w:rPr>
        <w:t xml:space="preserve"> use an alternative method to demonstrate daily instrument checks, apply to the Administrator for approval of the alternative under §63.177 or §63.178, whichever is applicable.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 </w:t>
      </w:r>
      <w:r w:rsidRPr="006D4EE5">
        <w:rPr>
          <w:rFonts w:ascii="Times New Roman" w:hAnsi="Times New Roman" w:cs="Times New Roman"/>
          <w:i/>
          <w:iCs/>
          <w:strike/>
          <w:sz w:val="20"/>
          <w:szCs w:val="20"/>
          <w:highlight w:val="yellow"/>
        </w:rPr>
        <w:t xml:space="preserve">Leak survey procedure. </w:t>
      </w:r>
      <w:r w:rsidRPr="006D4EE5">
        <w:rPr>
          <w:rFonts w:ascii="Times New Roman" w:hAnsi="Times New Roman" w:cs="Times New Roman"/>
          <w:strike/>
          <w:sz w:val="20"/>
          <w:szCs w:val="20"/>
          <w:highlight w:val="yellow"/>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(4) </w:t>
      </w:r>
      <w:r w:rsidRPr="006D4EE5">
        <w:rPr>
          <w:rFonts w:ascii="Times New Roman" w:hAnsi="Times New Roman" w:cs="Times New Roman"/>
          <w:i/>
          <w:iCs/>
          <w:strike/>
          <w:sz w:val="20"/>
          <w:szCs w:val="20"/>
          <w:highlight w:val="yellow"/>
        </w:rPr>
        <w:t xml:space="preserve">Recordkeeping. </w:t>
      </w:r>
      <w:r w:rsidRPr="006D4EE5">
        <w:rPr>
          <w:rFonts w:ascii="Times New Roman" w:hAnsi="Times New Roman" w:cs="Times New Roman"/>
          <w:strike/>
          <w:sz w:val="20"/>
          <w:szCs w:val="20"/>
          <w:highlight w:val="yellow"/>
        </w:rPr>
        <w:t>Keep the records described in paragraphs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4)(i) through (e)(4)(vii)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equipment, processes, and facilities for which the owner or operator chooses to use the alternative work practice.</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The detection sensitivity level selected from Table 1 to subpart A of this part for the optical gas imaging instrument.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(iii) The analysis to determine the piece of equipment in contact with the lowest mass fraction of chemicals that are detectable, as specified in paragraph (e)(2)(i)(A)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The technical basis for the mass fraction of detectable chemicals used in the equation in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2)(i)(B) of this section.</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 The daily instrument check. Record the distance, per paragraph (e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EB7550" w:rsidRPr="006D4EE5" w:rsidRDefault="00EB7550" w:rsidP="00EB7550">
      <w:pPr>
        <w:pStyle w:val="NormalWeb"/>
        <w:rPr>
          <w:rFonts w:ascii="Times New Roman" w:hAnsi="Times New Roman" w:cs="Times New Roman"/>
          <w:strike/>
          <w:sz w:val="20"/>
          <w:szCs w:val="20"/>
          <w:highlight w:val="yellow"/>
        </w:rPr>
      </w:pPr>
      <w:proofErr w:type="gramStart"/>
      <w:r w:rsidRPr="006D4EE5">
        <w:rPr>
          <w:rFonts w:ascii="Times New Roman" w:hAnsi="Times New Roman" w:cs="Times New Roman"/>
          <w:strike/>
          <w:sz w:val="20"/>
          <w:szCs w:val="20"/>
          <w:highlight w:val="yellow"/>
        </w:rPr>
        <w:t xml:space="preserve">(vi) </w:t>
      </w:r>
      <w:r w:rsidRPr="006D4EE5">
        <w:rPr>
          <w:rFonts w:ascii="Times New Roman" w:hAnsi="Times New Roman" w:cs="Times New Roman"/>
          <w:i/>
          <w:iCs/>
          <w:strike/>
          <w:sz w:val="20"/>
          <w:szCs w:val="20"/>
          <w:highlight w:val="yellow"/>
        </w:rPr>
        <w:t>Recordkeeping</w:t>
      </w:r>
      <w:proofErr w:type="gramEnd"/>
      <w:r w:rsidRPr="006D4EE5">
        <w:rPr>
          <w:rFonts w:ascii="Times New Roman" w:hAnsi="Times New Roman" w:cs="Times New Roman"/>
          <w:i/>
          <w:iCs/>
          <w:strike/>
          <w:sz w:val="20"/>
          <w:szCs w:val="20"/>
          <w:highlight w:val="yellow"/>
        </w:rPr>
        <w:t xml:space="preserve"> requirements in the applicable subpart. </w:t>
      </w:r>
      <w:r w:rsidRPr="006D4EE5">
        <w:rPr>
          <w:rFonts w:ascii="Times New Roman" w:hAnsi="Times New Roman" w:cs="Times New Roman"/>
          <w:strike/>
          <w:sz w:val="20"/>
          <w:szCs w:val="20"/>
          <w:highlight w:val="yellow"/>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(vii) The results of the annual Method 21 screening required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7) of this section. Records must be kept for all regulated equipment specified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this section. Records must identify the equipment screened, the screening value measured by Method 21, the time and date of the screening, and calibration information required in the existing applicable subparts.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(5) </w:t>
      </w:r>
      <w:r w:rsidRPr="006D4EE5">
        <w:rPr>
          <w:rFonts w:ascii="Times New Roman" w:hAnsi="Times New Roman" w:cs="Times New Roman"/>
          <w:i/>
          <w:iCs/>
          <w:strike/>
          <w:sz w:val="20"/>
          <w:szCs w:val="20"/>
          <w:highlight w:val="yellow"/>
        </w:rPr>
        <w:t xml:space="preserve">Reporting. </w:t>
      </w:r>
      <w:r w:rsidRPr="006D4EE5">
        <w:rPr>
          <w:rFonts w:ascii="Times New Roman" w:hAnsi="Times New Roman" w:cs="Times New Roman"/>
          <w:strike/>
          <w:sz w:val="20"/>
          <w:szCs w:val="20"/>
          <w:highlight w:val="yellow"/>
        </w:rPr>
        <w:t>Submit the reports required in the applicable subpart. Submit the records of the annual Method 21 screening required in paragraph (h</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7) of this section to the Administrator via e-mail to </w:t>
      </w:r>
      <w:r w:rsidRPr="006D4EE5">
        <w:rPr>
          <w:rFonts w:ascii="Times New Roman" w:hAnsi="Times New Roman" w:cs="Times New Roman"/>
          <w:i/>
          <w:iCs/>
          <w:strike/>
          <w:sz w:val="20"/>
          <w:szCs w:val="20"/>
          <w:highlight w:val="yellow"/>
        </w:rPr>
        <w:t xml:space="preserve">CCG-AWP@EPA.GOV. </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63 FR 24444, May 4, 1998; 65 FR 62215, Oct. 17, 2000; 67 FR 16605, Apr. 5, 2002; 73 FR 78211, Dec. 22, 2008]</w:t>
      </w:r>
    </w:p>
    <w:p w:rsidR="00EB7550" w:rsidRPr="006D4EE5" w:rsidRDefault="00EB7550" w:rsidP="00EB7550">
      <w:pPr>
        <w:pStyle w:val="Heading5"/>
        <w:rPr>
          <w:strike/>
          <w:sz w:val="20"/>
          <w:szCs w:val="20"/>
          <w:highlight w:val="yellow"/>
        </w:rPr>
      </w:pPr>
      <w:r w:rsidRPr="006D4EE5">
        <w:rPr>
          <w:strike/>
          <w:sz w:val="20"/>
          <w:szCs w:val="20"/>
          <w:highlight w:val="yellow"/>
        </w:rPr>
        <w:t>§ 63.12   State authority and delegations.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(a) The provisions of this part shall not be construed in any manner to preclude any State or political subdivision thereof from—</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Requiring the owner or operator of an affected source to obtain permits, licenses, or approvals prior to initiating construction, reconstruction, modification, or operation of such source; or</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Requiring emission reductions in excess of those specified in subpart D of this part as a condition for granting the extension of compliance authorized by section 112(i)(5) of the Act.</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EB7550" w:rsidRPr="006D4EE5" w:rsidRDefault="00EB7550" w:rsidP="00EB7550">
      <w:pPr>
        <w:pStyle w:val="Heading5"/>
        <w:rPr>
          <w:strike/>
          <w:sz w:val="20"/>
          <w:szCs w:val="20"/>
          <w:highlight w:val="yellow"/>
        </w:rPr>
      </w:pPr>
      <w:r w:rsidRPr="006D4EE5">
        <w:rPr>
          <w:strike/>
          <w:sz w:val="20"/>
          <w:szCs w:val="20"/>
          <w:highlight w:val="yellow"/>
        </w:rPr>
        <w:t>§ 63.13   Addresses of State air pollution control agencies and EPA Regional Offices.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I (Connecticut, Maine, Massachusetts, New Hampshire, Rhode Island, Vermont), Director, Air, Pesticides and Toxics Division, J.F.K. Federal Building, Boston, MA 02203–2211.</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II (New Jersey, New York, Puerto Rico, Virgin Islands), Director, Air and Waste Management Division, 26 Federal Plaza, New York, NY 10278.</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III (Delaware, District of Columbia, Maryland, Pennsylvania, Virginia, West Virginia), Director, Air Protection Division, 1650 Arch Street, Philadelphia, PA 19103.</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IV (Alabama, Florida, Georgia, Kentucky, Mississippi, North Carolina, South Carolina, Tennessee). Director, Air, Pesticides and Toxics Management Division, Atlanta Federal Center, 61 Forsyth Street, Atlanta, GA 30303–3104.</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V (Illinois, Indiana, Michigan, Minnesota, Ohio, Wisconsin), Director, Air and Radiation Division, 77 West Jackson Blvd., Chicago, IL 60604–3507.</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VI (Arkansas, Louisiana, New Mexico, Oklahoma, Texas), Director, Air, Pesticides and Toxics, 1445 Ross Avenue, Dallas, TX 75202–2733.</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EPA Region VII (Iowa, Kansas, Missouri, Nebraska), Director, Air, RCRA, and Toxics Division, U.S. Environmental Protection Agency, 901 N. 5th Street, Kansas City, KS 66101.</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EPA Region VIII (Colorado, Montana, North Dakota, South Dakota, Utah, Wyoming) Director, Air and Toxics Technical Enforcement Program, Office of Enforcement, Compliance and Environmental Justice, Mail Code 8ENF–AT, 1595 </w:t>
      </w:r>
      <w:proofErr w:type="spellStart"/>
      <w:r w:rsidRPr="006D4EE5">
        <w:rPr>
          <w:rFonts w:ascii="Times New Roman" w:hAnsi="Times New Roman" w:cs="Times New Roman"/>
          <w:strike/>
          <w:sz w:val="20"/>
          <w:szCs w:val="20"/>
          <w:highlight w:val="yellow"/>
        </w:rPr>
        <w:t>Wynkoop</w:t>
      </w:r>
      <w:proofErr w:type="spellEnd"/>
      <w:r w:rsidRPr="006D4EE5">
        <w:rPr>
          <w:rFonts w:ascii="Times New Roman" w:hAnsi="Times New Roman" w:cs="Times New Roman"/>
          <w:strike/>
          <w:sz w:val="20"/>
          <w:szCs w:val="20"/>
          <w:highlight w:val="yellow"/>
        </w:rPr>
        <w:t xml:space="preserve"> Street, Denver, CO 80202–1129.</w:t>
      </w:r>
    </w:p>
    <w:p w:rsidR="00EB7550" w:rsidRPr="006D4EE5" w:rsidRDefault="00EB7550" w:rsidP="00EB7550">
      <w:pPr>
        <w:pStyle w:val="NormalWeb"/>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EPA Region X (Alaska, Idaho, Oregon, Washington), Director, Office of Air Quality, 1200 Sixth Avenue (OAQ–107), Seattle, WA 98101.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 as amended at 63 FR 66061, Dec. 1, 1998; 67 FR 4184, Jan. 29, 2002; 68 FR 32601, May 30, 2003; 68 FR 35792, June 17, 2003; 73 FR 24871, May 6, 2008; 75 FR 69532, Nov. 12, 2010]</w:t>
      </w:r>
    </w:p>
    <w:p w:rsidR="00EB7550" w:rsidRPr="006D4EE5" w:rsidRDefault="00EB7550" w:rsidP="00EB7550">
      <w:pPr>
        <w:pStyle w:val="Heading5"/>
        <w:jc w:val="both"/>
        <w:rPr>
          <w:strike/>
          <w:sz w:val="20"/>
          <w:szCs w:val="20"/>
          <w:highlight w:val="yellow"/>
        </w:rPr>
      </w:pPr>
      <w:r w:rsidRPr="006D4EE5">
        <w:rPr>
          <w:strike/>
          <w:sz w:val="20"/>
          <w:szCs w:val="20"/>
          <w:highlight w:val="yellow"/>
        </w:rPr>
        <w:t>§ 63.14   Incorporations by reference.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w:t>
      </w:r>
      <w:proofErr w:type="spellStart"/>
      <w:r w:rsidRPr="006D4EE5">
        <w:rPr>
          <w:rFonts w:ascii="Times New Roman" w:hAnsi="Times New Roman" w:cs="Times New Roman"/>
          <w:strike/>
          <w:sz w:val="20"/>
          <w:szCs w:val="20"/>
          <w:highlight w:val="yellow"/>
        </w:rPr>
        <w:t>theFederal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Register.The</w:t>
      </w:r>
      <w:proofErr w:type="spellEnd"/>
      <w:r w:rsidRPr="006D4EE5">
        <w:rPr>
          <w:rFonts w:ascii="Times New Roman" w:hAnsi="Times New Roman" w:cs="Times New Roman"/>
          <w:strike/>
          <w:sz w:val="20"/>
          <w:szCs w:val="20"/>
          <w:highlight w:val="yellow"/>
        </w:rPr>
        <w:t xml:space="preserv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6D4EE5">
        <w:rPr>
          <w:rFonts w:ascii="Times New Roman" w:hAnsi="Times New Roman" w:cs="Times New Roman"/>
          <w:i/>
          <w:iCs/>
          <w:strike/>
          <w:sz w:val="20"/>
          <w:szCs w:val="20"/>
          <w:highlight w:val="yellow"/>
        </w:rPr>
        <w:t xml:space="preserve">http://www.archives.gov/federal_register/code_of_federal_regulations/ibr_locations.html.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ASTM D523–89, Standard Test Method for Specular Gloss, IBR approved for §63.782.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ASTM D1193–77, 91, Standard Specification for Reagent Water, IBR approved for appendix A: Method 306, Sections 7.1.1 and 7.4.2.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ASTM D1331–89, Standard Test Methods for Surface and Interfacial Tension of Solutions of Surface Active Agents, IBR approved for appendix A: Method 306B, Sections 6.2, 11.1, and 12.2.2.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ASTM D1475–90, Standard Test Method for Density of Paint, Varnish Lacquer, and Related Products, IBR approved for §63.788,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 ASTM D1946–77, 90, 94, Standard Method for Analysis of Reformed Gas by Gas Chromatography, IBR approved for §63.11(b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ASTM D2369–93, 95, Standard Test Method for Volatile Content of Coatings, IBR approved for §63.788,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ASTM D2382–76, 88, Heat of Combustion of Hydrocarbon Fuels by Bomb Calorimeter (High-Precision Method), IBR approved for §63.11(b)(6).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ASTM D2879–83, 96, Test Method for Vapor Pressure-Temperature Relationship and Initial Decomposition Temperature of Liquids by Isoteniscope, IBR approved for §63.111 and §63.2406.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 ASTM D3257–93, Standard Test Methods for Aromatics in Mineral Spirits by Gas Chromatography, IBR approved for §63.786(b).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(10) ASTM 3695–88, Standard Test Method for Volatile Alcohols in Water by Direct Aqueous-Injection Gas Chromatography, IBR approved for §63.365(e)(1) of subpart O.</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(11) ASTM D3792–91, Standard Method for Water Content of Water-Reducible Paints by Direct Injection into a Gas Chromatograph, IBR approved for §63.788,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(12) ASTM D3912–80, Standard Test Method for Chemical Resistance of Coatings Used in Light-Water Nuclear Power Plants, IBR approved for §63.782.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(13) ASTM D4017–90, 96a, Standard Test Method for Water in Paints and Paint Materials by the Karl Fischer Titration Method, IBR approved for §63.788,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(14) ASTM D4082–89, Standard Test Method for Effects of Gamma Radiation on Coatings for Use in Light-Water Nuclear Power Plants, IBR approved for §63.782.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(15) ASTM D4256–89, 94, Standard Test Method for Determination of the Decontaminability of Coatings Used in Light-Water Nuclear Power Plants, IBR approved for §63.782.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(16) ASTM D4809–95, Standard Test Method for Heat of Combustion of Liquid Hydrocarbon Fuels by Bomb Calorimeter (Precision Method), IBR approved for §63.11(b)(6).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(17) ASTM E180–93, Standard Practice for Determining the Precision of ASTM Methods for Analysis and Testing of Industrial Chemicals, IBR approved for §63.786(b).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(18) ASTM E260–91, 96, General Practice for Packed Column Gas Chromatography, IBR approved for §§63.750(b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 and 63.786(b)(5).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(19)</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20)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(21) ASTM D2099–00, Standard Test Method for Dynamic Water Resistance of Shoe Upper Leather by the Maeser Water Penetration Tester, IBR approved for §63.5350.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(22)</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23)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(24) ASTM D2697–86 (Reapproved 1998), “Standard Test Method for Volume Nonvolatile Matter in Clear or Pigmented Coatings,” IBR approved for §§63.3161(f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63.3521(b)(1), 63.3941(b)(1), 63.4141(b)(1), 63.4741(b)(1), 63.4941(b)(1), and 63.5160(c).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(25) ASTM D6093–97 (Reapproved 2003), “Standard Test Method for Percent Volume Nonvolatile Matter in Clear or Pigmented Coatings Using a Helium Gas Pycnometer,” IBR approved for §§63.3161(f)(1), 63.3521(b)(1), 63.3941(b)(1), 63.4141(b)(1), 63.4741(b)(1), 63.4941(b)(1), and 63.5160(c).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(26) ASTM D1475–98 (Reapproved 2003), “Standard Test Method for Density of Liquid Coatings, Inks, and Related Products,” IBR approved for §§63.3151(b), 63.3941(b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 63.3941(c), 63.3951(c), 63.4141(b)(3), 63.4141(c), and 63.4551(c).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(27) ASTM D6522–00, Standard Test Method for Determination of Nitrogen Oxides, Carbon Monoxide, and Oxygen Concentrations in Emissions from Natural Gas Fired Reciprocating Engines, Combustion Turbines, Boilers, and Process Heaters Using Portable Analyzers,</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§63.9307(c)(2) and table 5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(28) ASTM D6420–99 (Reapproved 2004), Standards Test Method for Determination of Gaseous Organic Compounds by Direct Interface Gas Chromatography-Mass Spectometry, IBR approved for §§60.485(g)(5), 60.485a(g)(5), 63.772(a)(1)(ii), 63.2354(b)(3)(i), 63.2354(b)(3)(ii), 63.2354(b)(3)(ii)(A), and 63.2351(b)(3)(ii)(B).</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(29) ASTM D6420–99, Standard Test Method for Determination of Gaseous Organic Compounds by Direct Interface Gas Chromatography-Mass Spectrometry, IBR approved for §§63.5799 and 63.5850.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(30) ASTM E 515–95 (Reapproved 2000), Standard Test Method for Leaks Using Bubble Emission Techniques, IBR approved for §63.425(i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(31) ASTM D5291–02, Standard Test Methods for Instrumental Determination of Carbon, Hydrogen, and Nitrogen in Petroleum Products and Lubricants, IBR approved for §63.3981,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(32) ASTM D5965–02, “Standard Test Methods for Specific Gravity of Coating Powders,” IBR approved for §§63.3151(b) and 63.3951(c).</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(33) ASTM D6053–00, Standard Test Method for Determination of Volatile Organic Compound (VOC) Content of Electrical Insulating Varnishes, IBR approved for §63.3981,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(34) E145–94 (Reapproved 2001), Standard Specification for Gravity-Convection and Forced-Ventilation Ovens, IBR approved for §63.4581,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(35) ASTM D6784–02, Standard Test Method for Elemental, Oxidized, Particle-Bound and Total Mercury in Flue Gas Generated from Coal-Fired Stationary Sources (Ontario Hydro Method),</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5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(36) ASTM D5066–91 (Reapproved 2001), “Standard Test Method for Determination of the Transfer Efficiency </w:t>
      </w:r>
      <w:proofErr w:type="gramStart"/>
      <w:r w:rsidRPr="006D4EE5">
        <w:rPr>
          <w:rFonts w:ascii="Times New Roman" w:hAnsi="Times New Roman" w:cs="Times New Roman"/>
          <w:strike/>
          <w:sz w:val="20"/>
          <w:szCs w:val="20"/>
          <w:highlight w:val="yellow"/>
        </w:rPr>
        <w:t>Under</w:t>
      </w:r>
      <w:proofErr w:type="gramEnd"/>
      <w:r w:rsidRPr="006D4EE5">
        <w:rPr>
          <w:rFonts w:ascii="Times New Roman" w:hAnsi="Times New Roman" w:cs="Times New Roman"/>
          <w:strike/>
          <w:sz w:val="20"/>
          <w:szCs w:val="20"/>
          <w:highlight w:val="yellow"/>
        </w:rPr>
        <w:t xml:space="preserve"> Production Conditions for Spray Application of Automotive Paints-Weight Basis,” IBR approved for §63.3161(g).</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(37) ASTM D5087–02, “Standard Test Method for Determining Amount of Volatile Organic Compound (VOC) Released from Solventborne Automotive Coatings and Available for Removal in a VOC Control Device (Abatement),” IBR approved for §§63.3165(e) and 63.3176, appendix A.</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(38) ASTM D6266–00a, “Test Method for Determining the Amount of Volatile Organic Compound (VOC) Released from Waterborne Automotive Coatings and Available for Removal in a VOC Control Device (Abatement),” IBR approved for §63.3165(e).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(39) ASTM Method D388–99</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Standard Classification of Coals by Rank,</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§63.7575.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(40) ASTM D396–02a, Standard Specification for Fuel Oils</w:t>
      </w:r>
      <w:proofErr w:type="gramStart"/>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perscript"/>
        </w:rPr>
        <w:t>1</w:t>
      </w:r>
      <w:proofErr w:type="gramEnd"/>
      <w:r w:rsidRPr="006D4EE5">
        <w:rPr>
          <w:rFonts w:ascii="Times New Roman" w:hAnsi="Times New Roman" w:cs="Times New Roman"/>
          <w:strike/>
          <w:sz w:val="20"/>
          <w:szCs w:val="20"/>
          <w:highlight w:val="yellow"/>
        </w:rPr>
        <w:t xml:space="preserve"> IBR approved for §63.7575.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(41) ASTM D1835–03a, Standard Specification for Liquified Petroleum (LP) Gases</w:t>
      </w:r>
      <w:proofErr w:type="gramStart"/>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perscript"/>
        </w:rPr>
        <w:t>1</w:t>
      </w:r>
      <w:proofErr w:type="gramEnd"/>
      <w:r w:rsidRPr="006D4EE5">
        <w:rPr>
          <w:rFonts w:ascii="Times New Roman" w:hAnsi="Times New Roman" w:cs="Times New Roman"/>
          <w:strike/>
          <w:sz w:val="20"/>
          <w:szCs w:val="20"/>
          <w:highlight w:val="yellow"/>
        </w:rPr>
        <w:t xml:space="preserve"> IBR approved for §63.7575.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(42) ASTM D2013–01, Standard Practice for Preparing Coal Samples for Analysis,</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(43) ASTM D2234–00,.</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Standard Practice for Collection of a Gross Sample of Coal,</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(44) ASTM D3173–02, Standard Test Method for Moisture in the Analysis Sample of Coal and Coke</w:t>
      </w:r>
      <w:proofErr w:type="gramStart"/>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perscript"/>
        </w:rPr>
        <w:t>1</w:t>
      </w:r>
      <w:proofErr w:type="gramEnd"/>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(45) ASTM D3683–94 (Reapproved 2000), Standard Test Method for Trace Elements in Coal and Coke Ash Absorption,</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(46) ASTM D3684–01, Standard Test Method for Total Mercury in Coal by the Oxygen Bomb Combustion/Atomic Absorption Method,</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(47) ASTM D5198–92 (Reapproved 2003), Standard Practice for Nitric Acid Digestion of Solid Waste,</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(48) ASTM D5865–03a, Standard Test Method for Gross Calorific Value of Coal and Coke</w:t>
      </w:r>
      <w:proofErr w:type="gramStart"/>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perscript"/>
        </w:rPr>
        <w:t>1</w:t>
      </w:r>
      <w:proofErr w:type="gramEnd"/>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(49) ASTM D6323–98 (Reapproved 2003), Standard Guide for Laboratory Subsampling of Media Related to Waste Management Activities,</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(50) ASTM E711–87 (Reapproved 1996), Standard Test Method for Gross Calorific Value of Refuse-Derived Fuel by the Bomb Calorimeter,</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(51) ASTM E776–87 (Reapproved 1996), Standard Test Method for Forms of Chlorine in Refuse-Derived Fuel,</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(52) ASTM E871–82 (Reapproved 1998), Standard Method of Moisture Analysis of Particulate Wood Fuels</w:t>
      </w:r>
      <w:proofErr w:type="gramStart"/>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perscript"/>
        </w:rPr>
        <w:t>1</w:t>
      </w:r>
      <w:proofErr w:type="gramEnd"/>
      <w:r w:rsidRPr="006D4EE5">
        <w:rPr>
          <w:rFonts w:ascii="Times New Roman" w:hAnsi="Times New Roman" w:cs="Times New Roman"/>
          <w:strike/>
          <w:sz w:val="20"/>
          <w:szCs w:val="20"/>
          <w:highlight w:val="yellow"/>
        </w:rPr>
        <w:t xml:space="preserv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(53) ASTM E885–88 (Reapproved 1996), Standard Test Methods for Analyses of Metals in Refuse-Derived Fuel by Atomic Absorption Spectroscopy,</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6 to subpart DDDDD of this part 63.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(55) ASTM D2013–04, Standard Practice for Preparing Coal Samples for Analysis,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(56) ASTM D2234–D2234M–03, Standard Practice for Collection of a Gross Sample of Coal,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(57) ASTM D6721–01, Standard Test Method for Determination of Chlorine in Coal by Oxidative Hydrolysis Microcoulometry,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(58) ASTM D3173–03, Standard Test Method for Moisture in the Analysis Sample of Coal and Coke,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(59) ASTM D4606–03, Standard Test Method for Determination of Arsenic and Selenium in Coal by the Hydride Generation/Atomic Absorption Method,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(60) 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(61) ASTM D6722–01, Standard Test Method for Total Mercury in Coal and Coal Combustion Residues by the Direct Combustion Analysis,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(62) ASTM D5865–04, Standard Test Method for Gross Calorific Value of Coal and Coke, IBR approved for table 6 to subpart DDDDD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(63) ASTM D2216–05, “Standard Test Methods for Laboratory Determination of Water (Moisture) Content of Soil and Rock by Mass,” IBR approved for the definition of “Free organic liquids” in §63.10692.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(64) ASTM D6522–00 (Reapproved 2005), Standard Test Method for Determination of Nitrogen Oxides, Carbon Monoxide, and Oxygen Concentrations in Emissions from Natural Gas Fired Reciprocating Engines, Combustion Turbines, Boilers, and Process Heaters Using Portable Analyzers,</w:t>
      </w:r>
      <w:r w:rsidRPr="006D4EE5">
        <w:rPr>
          <w:rFonts w:ascii="Times New Roman" w:hAnsi="Times New Roman" w:cs="Times New Roman"/>
          <w:strike/>
          <w:sz w:val="20"/>
          <w:szCs w:val="20"/>
          <w:highlight w:val="yellow"/>
          <w:vertAlign w:val="superscript"/>
        </w:rPr>
        <w:t>1</w:t>
      </w:r>
      <w:r w:rsidRPr="006D4EE5">
        <w:rPr>
          <w:rFonts w:ascii="Times New Roman" w:hAnsi="Times New Roman" w:cs="Times New Roman"/>
          <w:strike/>
          <w:sz w:val="20"/>
          <w:szCs w:val="20"/>
          <w:highlight w:val="yellow"/>
        </w:rPr>
        <w:t xml:space="preserve"> IBR approved for table 4 to subpart ZZZZ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(65) ASTM D 5228–92—“Standard Test Method for Determination of Butane Working Capacity of Activated Carbon,” reapproved 2005, IBR approved for §63.11092(b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 xml:space="preserve">1)(i)(B)( </w:t>
      </w:r>
      <w:r w:rsidRPr="006D4EE5">
        <w:rPr>
          <w:rFonts w:ascii="Times New Roman" w:hAnsi="Times New Roman" w:cs="Times New Roman"/>
          <w:i/>
          <w:iCs/>
          <w:strike/>
          <w:sz w:val="20"/>
          <w:szCs w:val="20"/>
          <w:highlight w:val="yellow"/>
        </w:rPr>
        <w:t xml:space="preserve">1 </w:t>
      </w:r>
      <w:r w:rsidRPr="006D4EE5">
        <w:rPr>
          <w:rFonts w:ascii="Times New Roman" w:hAnsi="Times New Roman" w:cs="Times New Roman"/>
          <w:strike/>
          <w:sz w:val="20"/>
          <w:szCs w:val="20"/>
          <w:highlight w:val="yellow"/>
        </w:rPr>
        <w:t xml:space="preserve">)( </w:t>
      </w:r>
      <w:r w:rsidRPr="006D4EE5">
        <w:rPr>
          <w:rFonts w:ascii="Times New Roman" w:hAnsi="Times New Roman" w:cs="Times New Roman"/>
          <w:i/>
          <w:iCs/>
          <w:strike/>
          <w:sz w:val="20"/>
          <w:szCs w:val="20"/>
          <w:highlight w:val="yellow"/>
        </w:rPr>
        <w:t xml:space="preserve">ii </w:t>
      </w:r>
      <w:r w:rsidRPr="006D4EE5">
        <w:rPr>
          <w:rFonts w:ascii="Times New Roman" w:hAnsi="Times New Roman" w:cs="Times New Roman"/>
          <w:strike/>
          <w:sz w:val="20"/>
          <w:szCs w:val="20"/>
          <w:highlight w:val="yellow"/>
        </w:rPr>
        <w: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The materials listed below are available for purchase from the American Petroleum Institute (API), 1220 L Street,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20005.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API Publication 2517, Evaporative Loss from External Floating-Roof Tanks, Third Edition, February 1989, IBR approved for §63.111 and §63.2406.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API Publication 2518, Evaporative Loss from Fixed-roof Tanks, Second Edition, October 1991, IBR approved for §63.150(g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3)(i)(C) of subpart G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API Manual of Petroleum Measurement Specifications (MPMS) Chapter 19.2, Evaporative Loss From Floating-Roof Tanks (formerly API Publications 2517 and 2519), First Edition, April 1997, IBR approved for §63.1251 of subpart GGG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(d) </w:t>
      </w:r>
      <w:r w:rsidRPr="006D4EE5">
        <w:rPr>
          <w:rFonts w:ascii="Times New Roman" w:hAnsi="Times New Roman" w:cs="Times New Roman"/>
          <w:i/>
          <w:iCs/>
          <w:strike/>
          <w:sz w:val="20"/>
          <w:szCs w:val="20"/>
          <w:highlight w:val="yellow"/>
        </w:rPr>
        <w:t xml:space="preserve">State and Local Requirements. </w:t>
      </w:r>
      <w:r w:rsidRPr="006D4EE5">
        <w:rPr>
          <w:rFonts w:ascii="Times New Roman" w:hAnsi="Times New Roman" w:cs="Times New Roman"/>
          <w:strike/>
          <w:sz w:val="20"/>
          <w:szCs w:val="20"/>
          <w:highlight w:val="yellow"/>
        </w:rPr>
        <w:t xml:space="preserve">The following materials listed below are available at the Air and Radiation Docket and Information Center, 1200 Pennsylvania Avenue, </w:t>
      </w:r>
      <w:proofErr w:type="gramStart"/>
      <w:r w:rsidRPr="006D4EE5">
        <w:rPr>
          <w:rFonts w:ascii="Times New Roman" w:hAnsi="Times New Roman" w:cs="Times New Roman"/>
          <w:strike/>
          <w:sz w:val="20"/>
          <w:szCs w:val="20"/>
          <w:highlight w:val="yellow"/>
        </w:rPr>
        <w:t>NW.,</w:t>
      </w:r>
      <w:proofErr w:type="gramEnd"/>
      <w:r w:rsidRPr="006D4EE5">
        <w:rPr>
          <w:rFonts w:ascii="Times New Roman" w:hAnsi="Times New Roman" w:cs="Times New Roman"/>
          <w:strike/>
          <w:sz w:val="20"/>
          <w:szCs w:val="20"/>
          <w:highlight w:val="yellow"/>
        </w:rPr>
        <w:t xml:space="preserve"> Washington, DC 20460, telephone number (202) 566–1745.</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(1) </w:t>
      </w:r>
      <w:r w:rsidRPr="006D4EE5">
        <w:rPr>
          <w:rFonts w:ascii="Times New Roman" w:hAnsi="Times New Roman" w:cs="Times New Roman"/>
          <w:i/>
          <w:iCs/>
          <w:strike/>
          <w:sz w:val="20"/>
          <w:szCs w:val="20"/>
          <w:highlight w:val="yellow"/>
        </w:rPr>
        <w:t xml:space="preserve">California Regulatory Requirements Applicable to the Air Toxics Program, </w:t>
      </w:r>
      <w:r w:rsidRPr="006D4EE5">
        <w:rPr>
          <w:rFonts w:ascii="Times New Roman" w:hAnsi="Times New Roman" w:cs="Times New Roman"/>
          <w:strike/>
          <w:sz w:val="20"/>
          <w:szCs w:val="20"/>
          <w:highlight w:val="yellow"/>
        </w:rPr>
        <w:t>January 5, 1999, IBR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5)(ii)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New Jersey's </w:t>
      </w:r>
      <w:r w:rsidRPr="006D4EE5">
        <w:rPr>
          <w:rFonts w:ascii="Times New Roman" w:hAnsi="Times New Roman" w:cs="Times New Roman"/>
          <w:i/>
          <w:iCs/>
          <w:strike/>
          <w:sz w:val="20"/>
          <w:szCs w:val="20"/>
          <w:highlight w:val="yellow"/>
        </w:rPr>
        <w:t xml:space="preserve">Toxic Catastrophe Prevention Act Program, </w:t>
      </w:r>
      <w:r w:rsidRPr="006D4EE5">
        <w:rPr>
          <w:rFonts w:ascii="Times New Roman" w:hAnsi="Times New Roman" w:cs="Times New Roman"/>
          <w:strike/>
          <w:sz w:val="20"/>
          <w:szCs w:val="20"/>
          <w:highlight w:val="yellow"/>
        </w:rPr>
        <w:t>(July 20, 1998), Incorporation By Reference approved for §63.99 (a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30)(i)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w:t>
      </w:r>
      <w:proofErr w:type="gramStart"/>
      <w:r w:rsidRPr="006D4EE5">
        <w:rPr>
          <w:rFonts w:ascii="Times New Roman" w:hAnsi="Times New Roman" w:cs="Times New Roman"/>
          <w:strike/>
          <w:sz w:val="20"/>
          <w:szCs w:val="20"/>
          <w:highlight w:val="yellow"/>
        </w:rPr>
        <w:t>iii</w:t>
      </w:r>
      <w:proofErr w:type="gramEnd"/>
      <w:r w:rsidRPr="006D4EE5">
        <w:rPr>
          <w:rFonts w:ascii="Times New Roman" w:hAnsi="Times New Roman" w:cs="Times New Roman"/>
          <w:strike/>
          <w:sz w:val="20"/>
          <w:szCs w:val="20"/>
          <w:highlight w:val="yellow"/>
        </w:rPr>
        <w:t>) State of Delaware Regulations Governing the Control of Air Pollution (October 2000), IBR approved for §63.99(a)(8)(ii)–(v)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22)(ii)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(5)(i) New Hampshire Regulations Applicable to Hazardous Air Pollutants, March, 2003. Incorporation by Reference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29)(iii)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New Hampshire Regulations Applicable to Hazardous Air Pollutants, September 2006. Incorporation by Reference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29)(iv)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Maine Regulations Applicable to Hazardous Air Pollutants (March 2006). Incorporation By Reference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19)(iii)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California South Coast Air Quality Management District's “Spray Equipment Transfer Efficiency Test Procedure for Equipment User, May 24, 1989,” IBR approved for §63.11173(e) and §63.11516(d).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(8) California South Coast Air Quality Management District's “Guidelines for Demonstrating Equivalency with District Approved Transfer Efficient Spray Guns, September 26, 2002,” Revision 0, IBR approved for §§63.11173(e) and 63.11516(d).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40)(ii) of subpart 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The materials listed below are available for purchase from the National Institute of Standards and Technology, Springfield, VA 22161, (800) 553–6847.</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Handbook 44, Specificiations, Tolerances, and Other Technical Requirements for Weighing and Measuring Devices 1998, IBR approved for §63.1303(e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(f) The following material is available from the National Council of the Paper Industry for Air and Stream Improvement, Inc. (NCASI), P.O. Box 133318, Research Triangle Park, NC 27709–3318 or at </w:t>
      </w:r>
      <w:r w:rsidRPr="006D4EE5">
        <w:rPr>
          <w:rFonts w:ascii="Times New Roman" w:hAnsi="Times New Roman" w:cs="Times New Roman"/>
          <w:i/>
          <w:iCs/>
          <w:strike/>
          <w:sz w:val="20"/>
          <w:szCs w:val="20"/>
          <w:highlight w:val="yellow"/>
        </w:rPr>
        <w:t xml:space="preserve">http://www.ncasi.org.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NCASI Method DI/MEOH–94.02, Methanol in Process Liquids GC/FID (Gas Chromatography/Flame Ionization Detection), August 1998, Methods Manual, NCASI, Research Triangle Park, NC, IBR approved for §63.457(c)(3)(ii) of subpart S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NCASI Method CI/WP–98.01, Chilled Impinger Method For Use At Wood Products Mills to Measure Formaldehyde, Methanol, and Phenol, 1998, Methods Manual, NCASI, Research Triangle Park, NC, IBR approved for table 4 to subpart 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NCASI Method IM/CAN/WP–99.02, Impinger/Canister Source Sampling Method for Selected HAPs and Other Compounds at Wood Products Facilities, January 2004, Methods Manual, NCASI, Research Triangle Park, NC, IBR approved for table 4 to subpart 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 NCASI Method ISS/FP A105.01, Impinger Source Sampling Method for Selected Aldehydes, Ketones, and Polar Compounds, December 2005, Methods Manual, NCASI, Research Triangle Park, NC, IBR approved for table 4 to subpart DDDD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(g) The materials listed below are available for purchase from AOAC International, Customer Services, Suite 400, 2200 Wilson Boulevard, Arlington, Virginia, 22201–3301, Telephone (703) 522–3032, Fax (703) 522–5468.</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AOAC Official Method 978.01 Phosphorus (Total) in Fertilizers, Automated Method,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AOAC Official Method 969.02 Phosphorus (Total) in Fertilizers, Alkalimetric Quinolinium Molybdophosphate Method,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AOAC Official Method 962.02 Phosphorus (Total) in Fertilizers, Gravimetric Quinolinium Molybdophosphate Method,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AOAC Official Method 957.02 Phosphorus (Total) in Fertilizers, Preparation of Sample Solution,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AOAC Official Method 929.01 Sampling of Solid Fertilizers,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AOAC Official Method 929.02 Preparation of Fertilizer Sample,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 AOAC Official Method 958.01 Phosphorus (Total) in Fertilizers, Spectrophotometric Molybdovanadophosphate Method, Sixteenth edition, 1995, IBR approved for §63.626(d</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3)(vi).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(h) The materials listed below are available for purchase from The Association of Florida Phosphate Chemists, P.O. Box 1645, Bartow, Florida, 33830, Book of Methods Used and Adopted </w:t>
      </w:r>
      <w:proofErr w:type="gramStart"/>
      <w:r w:rsidRPr="006D4EE5">
        <w:rPr>
          <w:rFonts w:ascii="Times New Roman" w:hAnsi="Times New Roman" w:cs="Times New Roman"/>
          <w:strike/>
          <w:sz w:val="20"/>
          <w:szCs w:val="20"/>
          <w:highlight w:val="yellow"/>
        </w:rPr>
        <w:t>By The</w:t>
      </w:r>
      <w:proofErr w:type="gramEnd"/>
      <w:r w:rsidRPr="006D4EE5">
        <w:rPr>
          <w:rFonts w:ascii="Times New Roman" w:hAnsi="Times New Roman" w:cs="Times New Roman"/>
          <w:strike/>
          <w:sz w:val="20"/>
          <w:szCs w:val="20"/>
          <w:highlight w:val="yellow"/>
        </w:rPr>
        <w:t xml:space="preserve"> Association of Florida Phosphate Chemists, Seventh Edition 1991, IBR.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Section IX, Methods of Analysis for Phosphate Rock, No. 1 Preparation of Sample, IBR approved for §63.606(c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3)(ii) and §63.626(c)(3)(ii).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Section IX, Methods of Analysis for Phosphate Rock, No. 3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xml:space="preserve">or </w:t>
      </w:r>
      <w:proofErr w:type="gramStart"/>
      <w:r w:rsidRPr="006D4EE5">
        <w:rPr>
          <w:rFonts w:ascii="Times New Roman" w:hAnsi="Times New Roman" w:cs="Times New Roman"/>
          <w:strike/>
          <w:sz w:val="20"/>
          <w:szCs w:val="20"/>
          <w:highlight w:val="yellow"/>
        </w:rPr>
        <w:t>Ca</w:t>
      </w:r>
      <w:r w:rsidRPr="006D4EE5">
        <w:rPr>
          <w:rFonts w:ascii="Times New Roman" w:hAnsi="Times New Roman" w:cs="Times New Roman"/>
          <w:strike/>
          <w:sz w:val="20"/>
          <w:szCs w:val="20"/>
          <w:highlight w:val="yellow"/>
          <w:vertAlign w:val="subscript"/>
        </w:rPr>
        <w:t>3</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PO</w:t>
      </w:r>
      <w:r w:rsidRPr="006D4EE5">
        <w:rPr>
          <w:rFonts w:ascii="Times New Roman" w:hAnsi="Times New Roman" w:cs="Times New Roman"/>
          <w:strike/>
          <w:sz w:val="20"/>
          <w:szCs w:val="20"/>
          <w:highlight w:val="yellow"/>
          <w:vertAlign w:val="subscript"/>
        </w:rPr>
        <w:t>4</w:t>
      </w:r>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 Method A-Volumetric Method, IBR approved for §63.606(c)(3)(ii) and §63.626(c)(3)(ii).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Section IX, Methods of Analysis for Phosphate Rock, No. 3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xml:space="preserve">or </w:t>
      </w:r>
      <w:proofErr w:type="gramStart"/>
      <w:r w:rsidRPr="006D4EE5">
        <w:rPr>
          <w:rFonts w:ascii="Times New Roman" w:hAnsi="Times New Roman" w:cs="Times New Roman"/>
          <w:strike/>
          <w:sz w:val="20"/>
          <w:szCs w:val="20"/>
          <w:highlight w:val="yellow"/>
        </w:rPr>
        <w:t>Ca</w:t>
      </w:r>
      <w:r w:rsidRPr="006D4EE5">
        <w:rPr>
          <w:rFonts w:ascii="Times New Roman" w:hAnsi="Times New Roman" w:cs="Times New Roman"/>
          <w:strike/>
          <w:sz w:val="20"/>
          <w:szCs w:val="20"/>
          <w:highlight w:val="yellow"/>
          <w:vertAlign w:val="subscript"/>
        </w:rPr>
        <w:t>3</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PO</w:t>
      </w:r>
      <w:r w:rsidRPr="006D4EE5">
        <w:rPr>
          <w:rFonts w:ascii="Times New Roman" w:hAnsi="Times New Roman" w:cs="Times New Roman"/>
          <w:strike/>
          <w:sz w:val="20"/>
          <w:szCs w:val="20"/>
          <w:highlight w:val="yellow"/>
          <w:vertAlign w:val="subscript"/>
        </w:rPr>
        <w:t>4</w:t>
      </w:r>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 Method B—Gravimetric Quimociac Method, IBR approved for §63.606(c)(3)(ii) and §63.626(c)(3)(ii).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(4) Section IX, Methods of Analysis For Phosphate Rock, No. 3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xml:space="preserve">or </w:t>
      </w:r>
      <w:proofErr w:type="gramStart"/>
      <w:r w:rsidRPr="006D4EE5">
        <w:rPr>
          <w:rFonts w:ascii="Times New Roman" w:hAnsi="Times New Roman" w:cs="Times New Roman"/>
          <w:strike/>
          <w:sz w:val="20"/>
          <w:szCs w:val="20"/>
          <w:highlight w:val="yellow"/>
        </w:rPr>
        <w:t>Ca</w:t>
      </w:r>
      <w:r w:rsidRPr="006D4EE5">
        <w:rPr>
          <w:rFonts w:ascii="Times New Roman" w:hAnsi="Times New Roman" w:cs="Times New Roman"/>
          <w:strike/>
          <w:sz w:val="20"/>
          <w:szCs w:val="20"/>
          <w:highlight w:val="yellow"/>
          <w:vertAlign w:val="subscript"/>
        </w:rPr>
        <w:t>3</w:t>
      </w:r>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PO</w:t>
      </w:r>
      <w:r w:rsidRPr="006D4EE5">
        <w:rPr>
          <w:rFonts w:ascii="Times New Roman" w:hAnsi="Times New Roman" w:cs="Times New Roman"/>
          <w:strike/>
          <w:sz w:val="20"/>
          <w:szCs w:val="20"/>
          <w:highlight w:val="yellow"/>
          <w:vertAlign w:val="subscript"/>
        </w:rPr>
        <w:t>4</w:t>
      </w:r>
      <w:r w:rsidRPr="006D4EE5">
        <w:rPr>
          <w:rFonts w:ascii="Times New Roman" w:hAnsi="Times New Roman" w:cs="Times New Roman"/>
          <w:strike/>
          <w:sz w:val="20"/>
          <w:szCs w:val="20"/>
          <w:highlight w:val="yellow"/>
        </w:rPr>
        <w:t>)</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 Method C—Spectrophotometric Method, IBR approved for §63.606(c)(3)(ii) and §63.626(c)(3)(ii).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 Section XI, Methods of Analysis for Phosphoric Acid, Superphosphate, Triple Superphosphate, and Ammonium Phosphates, No. 3 Total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Method A—Volumetric Method, IBR approved for §63.606(c)(3)(ii), §63.626(c)(3)(ii), and §63.626(d)(3)(v).</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 Section XI, Methods of Analysis for Phosphoric Acid, Superphosphate, Triple Superphosphate, and Ammonium Phosphates, No. 3 Total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Method B—Gravimetric Quimociac Method, IBR approved for §63.606(c)(3)(ii), §63.626(c)(3)(ii), and §63.626(d)(3)(v).</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(7) Section XI, Methods of Analysis for Phosphoric Acid, Superphosphate, Triple Superphosphate, and Ammonium Phosphates, No. 3 Total Phosphorus-P</w:t>
      </w:r>
      <w:r w:rsidRPr="006D4EE5">
        <w:rPr>
          <w:rFonts w:ascii="Times New Roman" w:hAnsi="Times New Roman" w:cs="Times New Roman"/>
          <w:strike/>
          <w:sz w:val="20"/>
          <w:szCs w:val="20"/>
          <w:highlight w:val="yellow"/>
          <w:vertAlign w:val="subscript"/>
        </w:rPr>
        <w:t>2</w:t>
      </w:r>
      <w:r w:rsidRPr="006D4EE5">
        <w:rPr>
          <w:rFonts w:ascii="Times New Roman" w:hAnsi="Times New Roman" w:cs="Times New Roman"/>
          <w:strike/>
          <w:sz w:val="20"/>
          <w:szCs w:val="20"/>
          <w:highlight w:val="yellow"/>
        </w:rPr>
        <w:t>O</w:t>
      </w:r>
      <w:r w:rsidRPr="006D4EE5">
        <w:rPr>
          <w:rFonts w:ascii="Times New Roman" w:hAnsi="Times New Roman" w:cs="Times New Roman"/>
          <w:strike/>
          <w:sz w:val="20"/>
          <w:szCs w:val="20"/>
          <w:highlight w:val="yellow"/>
          <w:vertAlign w:val="subscript"/>
        </w:rPr>
        <w:t>5</w:t>
      </w:r>
      <w:r w:rsidRPr="006D4EE5">
        <w:rPr>
          <w:rFonts w:ascii="Times New Roman" w:hAnsi="Times New Roman" w:cs="Times New Roman"/>
          <w:strike/>
          <w:sz w:val="20"/>
          <w:szCs w:val="20"/>
          <w:highlight w:val="yellow"/>
        </w:rPr>
        <w:t>, Method C—Spectrophotometric Method, IBR approved for §63.606(c)(3)(ii), §63.626(c)(3)(ii), and §63.626(d)(3)(v).</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and table 1 to subpart ZZZZZ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(j) The following material is available for purchase from: British Standards Institute, 389 Chiswick High Road, London W4 4AL, United Kingdom.</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BS EN 1593:1999, Non-destructive Testing: Leak Testing—Bubble Emission Techniques, IBR approved for §63.425(i</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Method 0023A, “Sampling Method for Polychlorinated Dibenzo-p-Dioxins and Polychlorinated Dibenzofuran Emissions from Stationary Sources,” dated December 1996, IBR approved for §63.1208(b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subpart EEE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Method 9071B, “n-Hexane Extractable Material (HEM) for Sludge, Sediment, and Solid Samples,” dated April 1998, IBR approved for §63.7824(e) of subpart FFFFF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w:t>
      </w:r>
      <w:proofErr w:type="gramStart"/>
      <w:r w:rsidRPr="006D4EE5">
        <w:rPr>
          <w:rFonts w:ascii="Times New Roman" w:hAnsi="Times New Roman" w:cs="Times New Roman"/>
          <w:strike/>
          <w:sz w:val="20"/>
          <w:szCs w:val="20"/>
          <w:highlight w:val="yellow"/>
        </w:rPr>
        <w:t>iii</w:t>
      </w:r>
      <w:proofErr w:type="gramEnd"/>
      <w:r w:rsidRPr="006D4EE5">
        <w:rPr>
          <w:rFonts w:ascii="Times New Roman" w:hAnsi="Times New Roman" w:cs="Times New Roman"/>
          <w:strike/>
          <w:sz w:val="20"/>
          <w:szCs w:val="20"/>
          <w:highlight w:val="yellow"/>
        </w:rPr>
        <w:t>) Method 9095A, “Paint Filter Liquids Test,” dated December 1996, IBR approved for §§63.7700(b) and 63.7765 of subpart EEEEE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(iv) Method 9095B, “Paint Filter Liquids Test,” (revision 2), dated November 2004, IBR approved for the definition of “Free organic liquids” in §63.10692, §63.10885(a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and the definition of “Free liquids” in §63.10906.</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following method as published in the National Institute of Occupational Safety and Health (NIOSH) test method compendium, “NIOSH Manual of Analytical Methods”, NIOSH publication no. 94-113, Fourth Edition, August 15, 1994.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 NIOSH Method 2010, “Amines, Aliphatic,” Issue 2, August 15, 1994, IBR approved for §63.7732(g</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1)(v) of subpart EEEEE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(ii)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(l) The following materials are available for purchase from the American Society of Heating, Refrigerating, and Air-Conditioning Engineers at 1791 Tullie Circle, NE., </w:t>
      </w:r>
      <w:proofErr w:type="gramStart"/>
      <w:r w:rsidRPr="006D4EE5">
        <w:rPr>
          <w:rFonts w:ascii="Times New Roman" w:hAnsi="Times New Roman" w:cs="Times New Roman"/>
          <w:strike/>
          <w:sz w:val="20"/>
          <w:szCs w:val="20"/>
          <w:highlight w:val="yellow"/>
        </w:rPr>
        <w:t>Atlanta</w:t>
      </w:r>
      <w:proofErr w:type="gramEnd"/>
      <w:r w:rsidRPr="006D4EE5">
        <w:rPr>
          <w:rFonts w:ascii="Times New Roman" w:hAnsi="Times New Roman" w:cs="Times New Roman"/>
          <w:strike/>
          <w:sz w:val="20"/>
          <w:szCs w:val="20"/>
          <w:highlight w:val="yellow"/>
        </w:rPr>
        <w:t xml:space="preserve">, GA 30329 or by electronic mail at </w:t>
      </w:r>
      <w:r w:rsidRPr="006D4EE5">
        <w:rPr>
          <w:rFonts w:ascii="Times New Roman" w:hAnsi="Times New Roman" w:cs="Times New Roman"/>
          <w:i/>
          <w:iCs/>
          <w:strike/>
          <w:sz w:val="20"/>
          <w:szCs w:val="20"/>
          <w:highlight w:val="yellow"/>
        </w:rPr>
        <w:t xml:space="preserve">orders@ashrae.org: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6D4EE5">
        <w:rPr>
          <w:rFonts w:ascii="Times New Roman" w:hAnsi="Times New Roman" w:cs="Times New Roman"/>
          <w:i/>
          <w:iCs/>
          <w:strike/>
          <w:sz w:val="20"/>
          <w:szCs w:val="20"/>
          <w:highlight w:val="yellow"/>
        </w:rPr>
        <w:t xml:space="preserve">http://www.arb.ca.gov/vapor/vapor.htm. </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California Air Resources Board Vapor Recovery Test Procedure TP–201.1.—“Volumetric Efficiency for Phase I Vapor Recovery Systems,” adopted April 12, 1996, and amended February 1, 2001 and October 8, 2003, IBR approved for §63.11120(b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California Air Resources Board Vapor Recovery Test Procedure TP–201.1E—“Leak Rate and Cracking Pressure of Pressure/Vacuum Vent Valves,” adopted October 8, 2003, IBR approved for §63.11120(a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California Air Resources Board Vapor Recovery Test Procedure TP–201.3—“Determination of 2-Inch WC Static Pressure Performance of Vapor Recovery Systems of Dispensing Facilities,” adopted April 12, 1996 and amended March 17, 1999, IBR approved for §63.11120(a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2)(i).</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(n) The following material is available from the Texas Commission on Environmental Quality (TCEQ) Library, Post Office Box 13087, Austin, Texas 78711–3087, telephone number (512) 239–0028 or at </w:t>
      </w:r>
      <w:r w:rsidRPr="006D4EE5">
        <w:rPr>
          <w:rFonts w:ascii="Times New Roman" w:hAnsi="Times New Roman" w:cs="Times New Roman"/>
          <w:i/>
          <w:iCs/>
          <w:strike/>
          <w:sz w:val="20"/>
          <w:szCs w:val="20"/>
          <w:highlight w:val="yellow"/>
        </w:rPr>
        <w:t>http://www.tceq.state.tx.us/assets/public/implementation/air/sip/sipdocs/2002-12-HGB/02046sipapp_</w:t>
      </w:r>
      <w:proofErr w:type="gramStart"/>
      <w:r w:rsidRPr="006D4EE5">
        <w:rPr>
          <w:rFonts w:ascii="Times New Roman" w:hAnsi="Times New Roman" w:cs="Times New Roman"/>
          <w:i/>
          <w:iCs/>
          <w:strike/>
          <w:sz w:val="20"/>
          <w:szCs w:val="20"/>
          <w:highlight w:val="yellow"/>
        </w:rPr>
        <w:t xml:space="preserve">ado.pdf </w:t>
      </w:r>
      <w:r w:rsidRPr="006D4EE5">
        <w:rPr>
          <w:rFonts w:ascii="Times New Roman" w:hAnsi="Times New Roman" w:cs="Times New Roman"/>
          <w:strike/>
          <w:sz w:val="20"/>
          <w:szCs w:val="20"/>
          <w:highlight w:val="yellow"/>
        </w:rPr>
        <w:t>:</w:t>
      </w:r>
      <w:proofErr w:type="gramEnd"/>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[Reserved]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[59 FR 12430, Mar. 16, 1994]</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t>Editorial Note:</w:t>
      </w:r>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ForFederal</w:t>
      </w:r>
      <w:proofErr w:type="spellEnd"/>
      <w:r w:rsidRPr="006D4EE5">
        <w:rPr>
          <w:rFonts w:ascii="Times New Roman" w:hAnsi="Times New Roman" w:cs="Times New Roman"/>
          <w:strike/>
          <w:sz w:val="20"/>
          <w:szCs w:val="20"/>
          <w:highlight w:val="yellow"/>
        </w:rPr>
        <w:t xml:space="preserve"> </w:t>
      </w:r>
      <w:proofErr w:type="spellStart"/>
      <w:r w:rsidRPr="006D4EE5">
        <w:rPr>
          <w:rFonts w:ascii="Times New Roman" w:hAnsi="Times New Roman" w:cs="Times New Roman"/>
          <w:strike/>
          <w:sz w:val="20"/>
          <w:szCs w:val="20"/>
          <w:highlight w:val="yellow"/>
        </w:rPr>
        <w:t>Registercitations</w:t>
      </w:r>
      <w:proofErr w:type="spellEnd"/>
      <w:r w:rsidRPr="006D4EE5">
        <w:rPr>
          <w:rFonts w:ascii="Times New Roman" w:hAnsi="Times New Roman" w:cs="Times New Roman"/>
          <w:strike/>
          <w:sz w:val="20"/>
          <w:szCs w:val="20"/>
          <w:highlight w:val="yellow"/>
        </w:rPr>
        <w:t xml:space="preserve"> affecting §63.14, see the List of CFR Sections Affected, which appears in the Finding Aids section of the printed volume and on GPO Access.</w:t>
      </w:r>
    </w:p>
    <w:p w:rsidR="00EB7550" w:rsidRPr="006D4EE5" w:rsidRDefault="00EB7550" w:rsidP="00EB7550">
      <w:pPr>
        <w:pStyle w:val="Heading5"/>
        <w:jc w:val="both"/>
        <w:rPr>
          <w:strike/>
          <w:sz w:val="20"/>
          <w:szCs w:val="20"/>
          <w:highlight w:val="yellow"/>
        </w:rPr>
      </w:pPr>
      <w:r w:rsidRPr="006D4EE5">
        <w:rPr>
          <w:strike/>
          <w:sz w:val="20"/>
          <w:szCs w:val="20"/>
          <w:highlight w:val="yellow"/>
        </w:rPr>
        <w:t>§ 63.15   Availability of information and confidentiality.</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(a) </w:t>
      </w:r>
      <w:r w:rsidRPr="006D4EE5">
        <w:rPr>
          <w:rFonts w:ascii="Times New Roman" w:hAnsi="Times New Roman" w:cs="Times New Roman"/>
          <w:i/>
          <w:iCs/>
          <w:strike/>
          <w:sz w:val="20"/>
          <w:szCs w:val="20"/>
          <w:highlight w:val="yellow"/>
        </w:rPr>
        <w:t xml:space="preserve">Availability of information. </w:t>
      </w:r>
      <w:r w:rsidRPr="006D4EE5">
        <w:rPr>
          <w:rFonts w:ascii="Times New Roman" w:hAnsi="Times New Roman" w:cs="Times New Roman"/>
          <w:strike/>
          <w:sz w:val="20"/>
          <w:szCs w:val="20"/>
          <w:highlight w:val="yellow"/>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availability to the public of information provided to or otherwise obtained by the Administrator under this part shall be governed by part 2 of this chapter.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 xml:space="preserve">(b) </w:t>
      </w:r>
      <w:r w:rsidRPr="006D4EE5">
        <w:rPr>
          <w:rFonts w:ascii="Times New Roman" w:hAnsi="Times New Roman" w:cs="Times New Roman"/>
          <w:i/>
          <w:iCs/>
          <w:strike/>
          <w:sz w:val="20"/>
          <w:szCs w:val="20"/>
          <w:highlight w:val="yellow"/>
        </w:rPr>
        <w:t xml:space="preserve">Confidentiality. </w:t>
      </w:r>
      <w:r w:rsidRPr="006D4EE5">
        <w:rPr>
          <w:rFonts w:ascii="Times New Roman" w:hAnsi="Times New Roman" w:cs="Times New Roman"/>
          <w:strike/>
          <w:sz w:val="20"/>
          <w:szCs w:val="20"/>
          <w:highlight w:val="yellow"/>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The contents of a title V permit shall not be entitled to protection under section 114(c) of the Act; however, information submitted as part of an application for a title V permit may be entitled to protection from disclosure.</w:t>
      </w:r>
    </w:p>
    <w:p w:rsidR="00EB7550" w:rsidRPr="006D4EE5" w:rsidRDefault="00EB7550" w:rsidP="00EB7550">
      <w:pPr>
        <w:pStyle w:val="Heading5"/>
        <w:jc w:val="both"/>
        <w:rPr>
          <w:strike/>
          <w:sz w:val="20"/>
          <w:szCs w:val="20"/>
          <w:highlight w:val="yellow"/>
        </w:rPr>
      </w:pPr>
      <w:r w:rsidRPr="006D4EE5">
        <w:rPr>
          <w:strike/>
          <w:sz w:val="20"/>
          <w:szCs w:val="20"/>
          <w:highlight w:val="yellow"/>
        </w:rPr>
        <w:t>§ 63.16   Performance Track Provisions.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Reduced its total HAP emissions to less than 25 tons per year;</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Reduced its emissions of each individual HAP to less than 10 tons per year; and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Reduced emissions of all HAPs covered by each MACT standard to at least the level required for full compliance with the applicable emission standard.</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For affected sources at any area source at a Performance Track member facility and which meet the requirements of paragraph (b)(3) of this section, or for affected sources at any major source that meet the requirements of paragraph (b) of this section:</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[69 FR 21753, Apr. 22, 2004]</w:t>
      </w:r>
    </w:p>
    <w:p w:rsidR="00EB7550" w:rsidRPr="006D4EE5" w:rsidRDefault="00EB7550" w:rsidP="00EB7550">
      <w:pPr>
        <w:pStyle w:val="Heading5"/>
        <w:jc w:val="both"/>
        <w:rPr>
          <w:strike/>
          <w:sz w:val="20"/>
          <w:szCs w:val="20"/>
          <w:highlight w:val="yellow"/>
        </w:rPr>
      </w:pPr>
      <w:r w:rsidRPr="006D4EE5">
        <w:rPr>
          <w:strike/>
          <w:sz w:val="20"/>
          <w:szCs w:val="20"/>
          <w:highlight w:val="yellow"/>
        </w:rPr>
        <w:t xml:space="preserve">Table 1 to Subpart </w:t>
      </w:r>
      <w:proofErr w:type="gramStart"/>
      <w:r w:rsidRPr="006D4EE5">
        <w:rPr>
          <w:strike/>
          <w:sz w:val="20"/>
          <w:szCs w:val="20"/>
          <w:highlight w:val="yellow"/>
        </w:rPr>
        <w:t>A</w:t>
      </w:r>
      <w:proofErr w:type="gramEnd"/>
      <w:r w:rsidRPr="006D4EE5">
        <w:rPr>
          <w:strike/>
          <w:sz w:val="20"/>
          <w:szCs w:val="20"/>
          <w:highlight w:val="yellow"/>
        </w:rPr>
        <w:t xml:space="preserve">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34"/>
        <w:gridCol w:w="4274"/>
      </w:tblGrid>
      <w:tr w:rsidR="00EB7550" w:rsidRPr="006D4EE5"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6D4EE5" w:rsidRDefault="00EB7550" w:rsidP="0031683A">
            <w:pPr>
              <w:jc w:val="both"/>
              <w:rPr>
                <w:b/>
                <w:bCs/>
                <w:strike/>
                <w:sz w:val="20"/>
                <w:highlight w:val="yellow"/>
              </w:rPr>
            </w:pPr>
            <w:r w:rsidRPr="006D4EE5">
              <w:rPr>
                <w:b/>
                <w:bCs/>
                <w:strike/>
                <w:sz w:val="20"/>
                <w:highlight w:val="yellow"/>
              </w:rPr>
              <w:t xml:space="preserve">Monitoring frequency per </w:t>
            </w:r>
            <w:proofErr w:type="spellStart"/>
            <w:r w:rsidRPr="006D4EE5">
              <w:rPr>
                <w:b/>
                <w:bCs/>
                <w:strike/>
                <w:sz w:val="20"/>
                <w:highlight w:val="yellow"/>
              </w:rPr>
              <w:t>subpart</w:t>
            </w:r>
            <w:r w:rsidRPr="006D4EE5">
              <w:rPr>
                <w:b/>
                <w:bCs/>
                <w:strike/>
                <w:sz w:val="20"/>
                <w:highlight w:val="yellow"/>
                <w:vertAlign w:val="superscript"/>
              </w:rPr>
              <w:t>a</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6D4EE5" w:rsidRDefault="00EB7550" w:rsidP="0031683A">
            <w:pPr>
              <w:jc w:val="both"/>
              <w:rPr>
                <w:b/>
                <w:bCs/>
                <w:strike/>
                <w:sz w:val="20"/>
                <w:highlight w:val="yellow"/>
              </w:rPr>
            </w:pPr>
            <w:r w:rsidRPr="006D4EE5">
              <w:rPr>
                <w:b/>
                <w:bCs/>
                <w:strike/>
                <w:sz w:val="20"/>
                <w:highlight w:val="yellow"/>
              </w:rPr>
              <w:t>Detection sensitivity level</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60</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85</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100</w:t>
            </w:r>
          </w:p>
        </w:tc>
      </w:tr>
    </w:tbl>
    <w:p w:rsidR="00EB7550" w:rsidRPr="006D4EE5" w:rsidRDefault="00EB7550" w:rsidP="00EB7550">
      <w:pPr>
        <w:pStyle w:val="tablenote"/>
        <w:jc w:val="both"/>
        <w:rPr>
          <w:strike/>
          <w:sz w:val="20"/>
          <w:szCs w:val="20"/>
          <w:highlight w:val="yellow"/>
        </w:rPr>
      </w:pPr>
      <w:proofErr w:type="spellStart"/>
      <w:proofErr w:type="gramStart"/>
      <w:r w:rsidRPr="006D4EE5">
        <w:rPr>
          <w:strike/>
          <w:sz w:val="20"/>
          <w:szCs w:val="20"/>
          <w:highlight w:val="yellow"/>
          <w:vertAlign w:val="superscript"/>
        </w:rPr>
        <w:t>a</w:t>
      </w:r>
      <w:r w:rsidRPr="006D4EE5">
        <w:rPr>
          <w:strike/>
          <w:sz w:val="20"/>
          <w:szCs w:val="20"/>
          <w:highlight w:val="yellow"/>
        </w:rPr>
        <w:t>When</w:t>
      </w:r>
      <w:proofErr w:type="spellEnd"/>
      <w:proofErr w:type="gramEnd"/>
      <w:r w:rsidRPr="006D4EE5">
        <w:rPr>
          <w:strike/>
          <w:sz w:val="20"/>
          <w:szCs w:val="20"/>
          <w:highlight w:val="yellow"/>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B7550" w:rsidRPr="006D4EE5" w:rsidRDefault="00EB7550" w:rsidP="00EB7550">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[73 FR 78213, Dec. 22, 2008]</w:t>
      </w:r>
    </w:p>
    <w:p w:rsidR="00EB7550" w:rsidRPr="006D4EE5" w:rsidRDefault="00EB7550" w:rsidP="00EB7550">
      <w:pPr>
        <w:jc w:val="both"/>
        <w:rPr>
          <w:strike/>
          <w:highlight w:val="yellow"/>
        </w:rPr>
        <w:sectPr w:rsidR="00EB7550" w:rsidRPr="006D4EE5" w:rsidSect="0031683A">
          <w:headerReference w:type="even" r:id="rId64"/>
          <w:headerReference w:type="default" r:id="rId65"/>
          <w:footerReference w:type="default" r:id="rId66"/>
          <w:headerReference w:type="first" r:id="rId67"/>
          <w:pgSz w:w="12240" w:h="15840" w:code="1"/>
          <w:pgMar w:top="1008" w:right="1008" w:bottom="1008" w:left="1008" w:header="720" w:footer="576" w:gutter="0"/>
          <w:paperSrc w:first="7" w:other="7"/>
          <w:pgNumType w:start="1"/>
          <w:cols w:space="720"/>
          <w:docGrid w:linePitch="299"/>
        </w:sectPr>
      </w:pPr>
    </w:p>
    <w:tbl>
      <w:tblPr>
        <w:tblW w:w="10500" w:type="dxa"/>
        <w:tblCellSpacing w:w="0" w:type="dxa"/>
        <w:tblCellMar>
          <w:left w:w="0" w:type="dxa"/>
          <w:right w:w="0" w:type="dxa"/>
        </w:tblCellMar>
        <w:tblLook w:val="04A0" w:firstRow="1" w:lastRow="0" w:firstColumn="1" w:lastColumn="0" w:noHBand="0" w:noVBand="1"/>
      </w:tblPr>
      <w:tblGrid>
        <w:gridCol w:w="10500"/>
      </w:tblGrid>
      <w:tr w:rsidR="00EB7550" w:rsidRPr="006D4EE5" w:rsidTr="0031683A">
        <w:trPr>
          <w:tblCellSpacing w:w="0" w:type="dxa"/>
        </w:trPr>
        <w:tc>
          <w:tcPr>
            <w:tcW w:w="8325" w:type="dxa"/>
            <w:tcMar>
              <w:top w:w="150" w:type="dxa"/>
              <w:left w:w="75" w:type="dxa"/>
              <w:bottom w:w="75" w:type="dxa"/>
              <w:right w:w="75" w:type="dxa"/>
            </w:tcMar>
            <w:hideMark/>
          </w:tcPr>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b/>
                <w:bCs/>
                <w:strike/>
                <w:sz w:val="20"/>
                <w:szCs w:val="20"/>
                <w:highlight w:val="yellow"/>
              </w:rPr>
              <w:lastRenderedPageBreak/>
              <w:t>Source:</w:t>
            </w:r>
            <w:r w:rsidRPr="006D4EE5">
              <w:rPr>
                <w:rFonts w:ascii="Times New Roman" w:hAnsi="Times New Roman" w:cs="Times New Roman"/>
                <w:strike/>
                <w:sz w:val="20"/>
                <w:szCs w:val="20"/>
                <w:highlight w:val="yellow"/>
              </w:rPr>
              <w:t xml:space="preserve">   68 FR 2238, Jan. 16, 2003, unless otherwise noted. </w:t>
            </w:r>
          </w:p>
          <w:p w:rsidR="00EB7550" w:rsidRPr="006D4EE5" w:rsidRDefault="00EB7550" w:rsidP="0031683A">
            <w:pPr>
              <w:pStyle w:val="Heading5"/>
              <w:jc w:val="both"/>
              <w:rPr>
                <w:strike/>
                <w:sz w:val="20"/>
                <w:szCs w:val="20"/>
                <w:highlight w:val="yellow"/>
              </w:rPr>
            </w:pPr>
            <w:r w:rsidRPr="006D4EE5">
              <w:rPr>
                <w:strike/>
                <w:sz w:val="20"/>
                <w:szCs w:val="20"/>
                <w:highlight w:val="yellow"/>
              </w:rPr>
              <w:t>What This Subpart Covers</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63.1930   </w:t>
            </w:r>
            <w:proofErr w:type="gramStart"/>
            <w:r w:rsidRPr="006D4EE5">
              <w:rPr>
                <w:strike/>
                <w:sz w:val="20"/>
                <w:szCs w:val="20"/>
                <w:highlight w:val="yellow"/>
              </w:rPr>
              <w:t>What</w:t>
            </w:r>
            <w:proofErr w:type="gramEnd"/>
            <w:r w:rsidRPr="006D4EE5">
              <w:rPr>
                <w:strike/>
                <w:sz w:val="20"/>
                <w:szCs w:val="20"/>
                <w:highlight w:val="yellow"/>
              </w:rPr>
              <w:t xml:space="preserve"> is the purpose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This subpart establishes national emission standards for hazardous air pollutants for existing and new municipal solid waste (MSW) landfills. This subpart requires all landfills described in §63.1935 to meet the requirements of 40 CFR part 60, subpart Cc or WWW and requires timely control of bioreactors. This subpart also requires such landfills to meet the startup, shutdown, and malfunction (SSM) requirements of the general provisions of this part and provides that compliance with the operating conditions shall be demonstrated by parameter monitoring results that are within the specified ranges. It also includes additional reporting requirements.</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63.1935   Am I subject to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You are subject to this subpart if you meet the criteria in paragraph (a) or (b)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You are subject to this subpart if you own or operate a MSW landfill that has accepted waste since November 8, 1987 or has additional capacity for waste deposition and meets any one of the three criteria in paragraphs (a)(1) through (3)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Your MSW landfill is a major source as defined in 40 CFR 63.2 of subpart A.</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Your MSW landfill is collocated with a major source as defined in 40 CFR 63.2 of subpart A.</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Your MSW landfill is an area source landfill that has a design capacity equal to or greater than 2.5 million megagrams (Mg) and 2.5 million cubic meters (m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 and has estimated uncontrolled emissions equal to or greater than 50 megagrams per year (Mg/yr) NMOC as calculated according to §60.754(a) of the MSW landfills new source performance standards in 40 CFR part 60, subpart WWW, the Federal plan, or an EPA approved and effective State or tribal plan that applies to your landfill.</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You are subject to this subpart if you own or operate a MSW landfill that has accepted waste since November 8, 1987 or has additional capacity for waste deposition, that includes a bioreactor, as defined in §63.1990, and that meets any one of the criteria in paragraphs (b)(1) through (3)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Your MSW landfill is a major source as defined in 40 CFR 63.2 of subpart A.</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Your MSW landfill is collocated with a major source as defined in 40 CFR 63.2 of subpart A.</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Your MSW landfill is an area source landfill that has a design capacity equal to our greater than 2.5 million Mg and 2.5 million 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and that is not permanently closed as of January 16, 2003.</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63.1940   </w:t>
            </w:r>
            <w:proofErr w:type="gramStart"/>
            <w:r w:rsidRPr="006D4EE5">
              <w:rPr>
                <w:strike/>
                <w:sz w:val="20"/>
                <w:szCs w:val="20"/>
                <w:highlight w:val="yellow"/>
              </w:rPr>
              <w:t>What</w:t>
            </w:r>
            <w:proofErr w:type="gramEnd"/>
            <w:r w:rsidRPr="006D4EE5">
              <w:rPr>
                <w:strike/>
                <w:sz w:val="20"/>
                <w:szCs w:val="20"/>
                <w:highlight w:val="yellow"/>
              </w:rPr>
              <w:t xml:space="preserve"> is the affected source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An affected source of this subpart is a MSW landfill, as defined in §63.1990, that meets the criteria in §63.1935(a) or (b). The affected source includes the entire disposal facility in a contiguous geographic space where household waste is placed in or on land, including any portion of the MSW landfill operated as a bioreactor.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 new affected source of this subpart is an affected source that commenced construction or reconstruction after November 7, 2000. An affected source is reconstructed if it meets the definition of reconstruction in 40 CFR 63.2 of subpart A.</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(c) An affected source of this subpart is existing if it is not new.</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63.1945   When do I have to comply with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your landfill is a new affected source, you must comply with this subpart by January 16, 2003 or at the time you begin operating, whichever is last.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your landfill is an existing affected source, you must comply with this subpart by January 16, 2004.</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If your landfill is a new affected source and is a major source or is collocated with a major source, you must comply with the requirements in §§63.1955(b) and 63.1960 through 63.1980 by the date your landfill is required to install a collection and control system by 40 CFR 60.752(b)(2) of subpart WWW.</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If your landfill is an existing affected source and is a major source or is collocated with a major source,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13, 2004, whichever occurs later.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If your landfill is a new affected source and is an area source meeting the criteria in §63.1935(a)(3), you must comply with the requirements of §§63.1955(b) and 63.1960 through 63.1980 by the date your landfill is required to install a collection and control system by 40 CFR 60.752(b)(2) of subpart WWW.</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If your landfill is an existing affected source and is an area source meeting the criteria in §63.1935(a)(3),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16, 2004, whichever occurs later.</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63.1947   When do I have to comply with this subpart if I own or operate a bioreactor?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You must comply with this subpart by the dates specified in §63.1945(a) or (b) of this subpart. If you own or operate a bioreactor located at a landfill that is not permanently closed as of January 16, 2003 and has a design capacity equal to or greater than 2.5 million Mg and 2.5 million 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 then you must install and operate a collection and control system that meets the criteria in 40 CFR 60.752(b)(2)(v) of part 60, subpart WWW, the Federal plan, or EPA approved and effective State plan according to the schedule specified in paragraph (a), (b), or (c)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If your bioreactor is at a new affected source, then you must meet the requirements in paragraphs (a)(1) and (2)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Install the gas collection and control system for the bioreactor before initiating liquids addition.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your bioreactor is at an existing affected source, then you must install and begin operating the gas collection and control system for the bioreactor by January 17, 2006 or by the date your bioreactor is required to install a gas collection and control system under 40 CFR part 60, subpart WWW, the Federal plan, or EPA approved and effective State plan or tribal plan that applies to your landfill, whichever is earlier.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(c) If your bioreactor is at an existing affected source and you do not initiate liquids addition to your bioreactor until later than January 17, 2006, then you must meet the requirements in paragraphs (c)(1) and (2)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Install the gas collection and control system for the bioreactor before initiating liquids addition.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63.1950   When am I no longer required to comply with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You are no longer required to comply with the requirements of this subpart when you are no longer required to apply controls as specified in 40 CFR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of subpart WWW, or the Federal plan or EPA approved and effective State plan or tribal plan that implements 40 CFR part 60, subpart Cc, whichever applies to your landfill.</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63.1952   When am I no longer required to comply with the requirements of this subpart if I own or operate a bioreactor?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If you own or operate a landfill that includes a bioreactor, you are no longer required to comply with the requirements of this subpart for the bioreactor provided you meet the conditions of either paragraphs (a) or (b).</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Your affected source meets the control system removal criteria in 40 CFR 60.752(b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2)(v) of part 60, subpart WWW or the bioreactor meets the criteria for a nonproductive area of the landfill in 40 CFR 60.759(a)(3)(ii) of part 60, subpart WWW.</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The bioreactor portion of the landfill is a closed landfill as defined in 40 CFR 60.751, subpart WWW, you have permanently ceased adding liquids to the bioreactor, and you have not added liquids to the bioreactor for at least 1 year. A closure report for the bioreactor must be submitted to the Administrator as provided in 40 CFR 60.757(d) of subpart WWW.</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Compliance with the bioreactor control removal provisions in this section constitutes compliance with 40 CFR part 60, subpart WWW or the Federal plan, whichever applies to your bioreactor.</w:t>
            </w:r>
          </w:p>
          <w:p w:rsidR="00EB7550" w:rsidRPr="006D4EE5" w:rsidRDefault="00EB7550" w:rsidP="0031683A">
            <w:pPr>
              <w:pStyle w:val="Heading5"/>
              <w:jc w:val="both"/>
              <w:rPr>
                <w:strike/>
                <w:sz w:val="20"/>
                <w:szCs w:val="20"/>
                <w:highlight w:val="yellow"/>
              </w:rPr>
            </w:pPr>
            <w:r w:rsidRPr="006D4EE5">
              <w:rPr>
                <w:strike/>
                <w:sz w:val="20"/>
                <w:szCs w:val="20"/>
                <w:highlight w:val="yellow"/>
              </w:rPr>
              <w:t>Standards</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63.1955   </w:t>
            </w:r>
            <w:proofErr w:type="gramStart"/>
            <w:r w:rsidRPr="006D4EE5">
              <w:rPr>
                <w:strike/>
                <w:sz w:val="20"/>
                <w:szCs w:val="20"/>
                <w:highlight w:val="yellow"/>
              </w:rPr>
              <w:t>What</w:t>
            </w:r>
            <w:proofErr w:type="gramEnd"/>
            <w:r w:rsidRPr="006D4EE5">
              <w:rPr>
                <w:strike/>
                <w:sz w:val="20"/>
                <w:szCs w:val="20"/>
                <w:highlight w:val="yellow"/>
              </w:rPr>
              <w:t xml:space="preserve"> requirements must I meet?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You must fulfill one of the requirements in paragraph (a)(1) or (2) of this section, whichever is applicable: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Comply with the requirements of 40 CFR part 60, subpart WWW.</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Comply with the requirements of the Federal plan or EPA approved and effective State plan or tribal plan that implements 40 CFR part 60, subpart Cc.</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If you are required by 40 CFR 60.752(b)(2) of subpart WWW, the Federal plan, or an EPA approved and effective State or tribal plan to install a collection and control system, you must comply with the requirements in §§63.1960 through 63.1985 and with the general provisions of this part specified in table 1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(c) For approval of collection and control systems that include any alternatives to the operational standards, test methods, procedures, compliance measures, monitoring, recordkeeping or reporting provisions, you must follow the procedures in 40 CFR 60.752(b)(2). If alternatives have already been approved under 40 CFR part 60 subpart WWW or the Federal plan, or EPA approved and effective State or tribal plan, these alternatives can be used to comply with this subpart, except that all affected </w:t>
            </w:r>
            <w:r w:rsidRPr="006D4EE5">
              <w:rPr>
                <w:rFonts w:ascii="Times New Roman" w:hAnsi="Times New Roman" w:cs="Times New Roman"/>
                <w:strike/>
                <w:sz w:val="20"/>
                <w:szCs w:val="20"/>
                <w:highlight w:val="yellow"/>
              </w:rPr>
              <w:lastRenderedPageBreak/>
              <w:t>sources must comply with the SSM requirements in Subpart A of this part as specified in Table 1 of this subpart and all affected sources must submit compliance reports every 6 months as specified in §63.1980(a) and (b), including information on all deviations that occurred during the 6-month reporting period. Deviations for continuous emission monitors or numerical continuous parameter monitors must be determined using a 3 hour monitoring block average.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If you own or operate a bioreactor that is located at a MSW landfill that is not permanently closed and has a design capacity equal to or greater than 2.5 million Mg and 2.5 million m</w:t>
            </w:r>
            <w:r w:rsidRPr="006D4EE5">
              <w:rPr>
                <w:rFonts w:ascii="Times New Roman" w:hAnsi="Times New Roman" w:cs="Times New Roman"/>
                <w:strike/>
                <w:sz w:val="20"/>
                <w:szCs w:val="20"/>
                <w:highlight w:val="yellow"/>
                <w:vertAlign w:val="superscript"/>
              </w:rPr>
              <w:t>3</w:t>
            </w:r>
            <w:r w:rsidRPr="006D4EE5">
              <w:rPr>
                <w:rFonts w:ascii="Times New Roman" w:hAnsi="Times New Roman" w:cs="Times New Roman"/>
                <w:strike/>
                <w:sz w:val="20"/>
                <w:szCs w:val="20"/>
                <w:highlight w:val="yellow"/>
              </w:rPr>
              <w:t xml:space="preserve"> , then you must meet the requirements of paragraph (a) and the additional requirements in paragraphs (d)(1) and (2)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You must comply with the general provisions specified in Table 1 of this subpart and §§63.1960 through 63.1985 starting on the date you are required to install the gas collection and control system.</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(2) You must extend the collection and control system into each new cell or area of the bioreactor prior to initiating liquids addition in that area, instead of the schedule in 40 CFR 60.752(b)(2)(ii)(A)( </w:t>
            </w:r>
            <w:r w:rsidRPr="006D4EE5">
              <w:rPr>
                <w:rFonts w:ascii="Times New Roman" w:hAnsi="Times New Roman" w:cs="Times New Roman"/>
                <w:i/>
                <w:iCs/>
                <w:strike/>
                <w:sz w:val="20"/>
                <w:szCs w:val="20"/>
                <w:highlight w:val="yellow"/>
              </w:rPr>
              <w:t xml:space="preserve">2 </w:t>
            </w:r>
            <w:r w:rsidRPr="006D4EE5">
              <w:rPr>
                <w:rFonts w:ascii="Times New Roman" w:hAnsi="Times New Roman" w:cs="Times New Roman"/>
                <w:strike/>
                <w:sz w:val="20"/>
                <w:szCs w:val="20"/>
                <w:highlight w:val="yellow"/>
              </w:rPr>
              <w:t>).</w:t>
            </w:r>
          </w:p>
          <w:p w:rsidR="00EB7550" w:rsidRPr="006D4EE5" w:rsidRDefault="00EB7550" w:rsidP="0031683A">
            <w:pPr>
              <w:pStyle w:val="Heading5"/>
              <w:jc w:val="both"/>
              <w:rPr>
                <w:strike/>
                <w:sz w:val="20"/>
                <w:szCs w:val="20"/>
                <w:highlight w:val="yellow"/>
              </w:rPr>
            </w:pPr>
            <w:r w:rsidRPr="006D4EE5">
              <w:rPr>
                <w:strike/>
                <w:sz w:val="20"/>
                <w:szCs w:val="20"/>
                <w:highlight w:val="yellow"/>
              </w:rPr>
              <w:t>General and Continuing Compliance Requirements</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63.1960   </w:t>
            </w:r>
            <w:proofErr w:type="gramStart"/>
            <w:r w:rsidRPr="006D4EE5">
              <w:rPr>
                <w:strike/>
                <w:sz w:val="20"/>
                <w:szCs w:val="20"/>
                <w:highlight w:val="yellow"/>
              </w:rPr>
              <w:t>How</w:t>
            </w:r>
            <w:proofErr w:type="gramEnd"/>
            <w:r w:rsidRPr="006D4EE5">
              <w:rPr>
                <w:strike/>
                <w:sz w:val="20"/>
                <w:szCs w:val="20"/>
                <w:highlight w:val="yellow"/>
              </w:rPr>
              <w:t xml:space="preserve"> is compliance determined?</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Compliance is determined in the same way it is determined for 40 CFR part 60, subpart WWW, including performance testing, monitoring of the collection system, continuous parameter monitoring, and other credible evidence. In addition, continuous parameter monitoring data, collected under 40 CFR 60.756(b</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(c)(1), and (d) of subpart WWW, are used to demonstrate compliance with the operating conditions for control systems. If a deviation occurs, you have failed to meet the control device operating conditions described in this subpart and have deviated from the requirements of this subpart. Finally, you must develop a written SSM plan according to the provisions in 40 CFR 63.6(e</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3). A copy of the SSM plan must be maintained on site. Failure to write or maintain a copy of the SSM plan is a deviation from the requirements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[68 FR 2238, Jan. 16, 2003, as amended at 71 FR 20462, Apr. 20, 2006]</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63.1965   </w:t>
            </w:r>
            <w:proofErr w:type="gramStart"/>
            <w:r w:rsidRPr="006D4EE5">
              <w:rPr>
                <w:strike/>
                <w:sz w:val="20"/>
                <w:szCs w:val="20"/>
                <w:highlight w:val="yellow"/>
              </w:rPr>
              <w:t>What</w:t>
            </w:r>
            <w:proofErr w:type="gramEnd"/>
            <w:r w:rsidRPr="006D4EE5">
              <w:rPr>
                <w:strike/>
                <w:sz w:val="20"/>
                <w:szCs w:val="20"/>
                <w:highlight w:val="yellow"/>
              </w:rPr>
              <w:t xml:space="preserve"> is a deviation?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deviation is defined in §63.1990. For the purposes of the landfill monitoring and SSM plan requirements, deviations include the items in paragraphs (a) through (c) of this section.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A deviation occurs when the control device operating parameter boundaries described in 40 CFR 60.758(c</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of subpart WWW are exceeded.</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A deviation occurs when 1 hour or more of the hours during the 3-hour block averaging period does not constitute a valid hour of data. A valid hour of data must have measured values for at least three 15-minute monitoring periods within the hour.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A deviation occurs when a SSM plan is not developed or maintained on site.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[68 FR 2238, Jan. 16, 2003, as amended at 71 FR 20462, Apr. 20, 2006]</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63.1975   </w:t>
            </w:r>
            <w:proofErr w:type="gramStart"/>
            <w:r w:rsidRPr="006D4EE5">
              <w:rPr>
                <w:strike/>
                <w:sz w:val="20"/>
                <w:szCs w:val="20"/>
                <w:highlight w:val="yellow"/>
              </w:rPr>
              <w:t>How</w:t>
            </w:r>
            <w:proofErr w:type="gramEnd"/>
            <w:r w:rsidRPr="006D4EE5">
              <w:rPr>
                <w:strike/>
                <w:sz w:val="20"/>
                <w:szCs w:val="20"/>
                <w:highlight w:val="yellow"/>
              </w:rPr>
              <w:t xml:space="preserve"> do I calculate the 3-hour block average used to demonstrate compliance?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Averages are calculated in the same way as they are calculated in 40 CFR part 60, subpart WWW, except that the data collected during the events listed in paragraphs (a), (b), (c), and (d) of this section are not to be included in any average computed under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lastRenderedPageBreak/>
              <w:t>(a) Monitoring system breakdowns, repairs, calibration checks, and zero (low-level) and high-level adjustments.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Startups.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Shutdowns.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Malfunctions.</w:t>
            </w:r>
          </w:p>
          <w:p w:rsidR="00EB7550" w:rsidRPr="006D4EE5" w:rsidRDefault="00EB7550" w:rsidP="0031683A">
            <w:pPr>
              <w:pStyle w:val="Heading5"/>
              <w:jc w:val="both"/>
              <w:rPr>
                <w:strike/>
                <w:sz w:val="20"/>
                <w:szCs w:val="20"/>
                <w:highlight w:val="yellow"/>
              </w:rPr>
            </w:pPr>
            <w:r w:rsidRPr="006D4EE5">
              <w:rPr>
                <w:strike/>
                <w:sz w:val="20"/>
                <w:szCs w:val="20"/>
                <w:highlight w:val="yellow"/>
              </w:rPr>
              <w:t>Notifications, Records, and Reports</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63.1980   </w:t>
            </w:r>
            <w:proofErr w:type="gramStart"/>
            <w:r w:rsidRPr="006D4EE5">
              <w:rPr>
                <w:strike/>
                <w:sz w:val="20"/>
                <w:szCs w:val="20"/>
                <w:highlight w:val="yellow"/>
              </w:rPr>
              <w:t>What</w:t>
            </w:r>
            <w:proofErr w:type="gramEnd"/>
            <w:r w:rsidRPr="006D4EE5">
              <w:rPr>
                <w:strike/>
                <w:sz w:val="20"/>
                <w:szCs w:val="20"/>
                <w:highlight w:val="yellow"/>
              </w:rPr>
              <w:t xml:space="preserve"> records and reports must I keep and submit?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Keep records and reports as specified in 40 CFR part 60, subpart WWW, or in the Federal plan, EPA approved State plan or tribal plan that implements 40 CFR part 60, subpart Cc, whichever applies to your landfill, with one exception: You must submit the annual report described in 40 CFR 60.757(f) every 6 months.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You must also keep records and reports as specified in the general provisions of 40 CFR part 60 and this part as shown in Table 1 of this subpart. Applicable records in the general provisions include items such as SSM plans and the SSM plan reports.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For bioreactors at new affected sources you must submit the initial semiannual compliance report and performance test results described in 40 CFR 60.757(f) within 180 days after the date you are required to begin operating the gas collection and control system by §63.1947(a)(2)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(d) For bioreactors at existing affected sources, you must submit the initial semiannual compliance report and performance test results described in 40 CFR 60.757(f) within 180 days after the compliance date specified in §63.1947(b) of this subpart, unless you have previously submitted a compliance report for the bioreactor required by 40 CFR part 60, subpart WWW, the Federal plan, or an EPA approved and effective State plan or tribal plan.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(e) For bioreactors that are located at existing affected sources, but do not initiate liquids addition until later than the compliance date in §63.1947(b) of this subpart, you must submit the initial semiannual compliance report and performance tests results described in 40 CFR 60.757(f) within 180 days after the date you are required to begin operating the gas collection and control system by §63.1947(c) of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(f) If you must submit a semiannual compliance report for a bioreactor as well as a semiannual compliance report for a conventional portion of the same landfill, you may delay submittal of a subsequent semiannual compliance report for the bioreactor according to paragraphs (f</w:t>
            </w:r>
            <w:proofErr w:type="gramStart"/>
            <w:r w:rsidRPr="006D4EE5">
              <w:rPr>
                <w:rFonts w:ascii="Times New Roman" w:hAnsi="Times New Roman" w:cs="Times New Roman"/>
                <w:strike/>
                <w:sz w:val="20"/>
                <w:szCs w:val="20"/>
                <w:highlight w:val="yellow"/>
              </w:rPr>
              <w:t>)(</w:t>
            </w:r>
            <w:proofErr w:type="gramEnd"/>
            <w:r w:rsidRPr="006D4EE5">
              <w:rPr>
                <w:rFonts w:ascii="Times New Roman" w:hAnsi="Times New Roman" w:cs="Times New Roman"/>
                <w:strike/>
                <w:sz w:val="20"/>
                <w:szCs w:val="20"/>
                <w:highlight w:val="yellow"/>
              </w:rPr>
              <w:t>1) through (3) of this section so that the reports may be submitted on the same schedule.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After submittal of your initial semiannual compliance report and performance test results for the bioreactor, you may delay submittal of the subsequent semiannual compliance report for the bioreactor until the date the initial or subsequent semiannual compliance report is due for the conventional portion of your landfill.</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You may delay submittal of your subsequent semiannual compliance report by no more than 12 months after the due date for submitting the initial semiannual compliance report and performance test results described in 40 CFR 60.757(f) for the bioreactor. The report shall cover the time period since the previous semiannual report for the bioreactor, which would be a period of at least 6 months and no more than 12 months.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After the delayed semiannual report, all subsequent semiannual reports for the bioreactor must be submitted every 6 months on the same date the semiannual report for the conventional portion of the landfill is due.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 xml:space="preserve">(g) If you add any liquids other than leachate in a controlled fashion to the waste mass and do not comply with the bioreactor requirements in §§63.1947, 63.1955(c) and 63.1980(c) through (f) of this subpart, you must keep a record of calculations showing </w:t>
            </w:r>
            <w:r w:rsidRPr="006D4EE5">
              <w:rPr>
                <w:rFonts w:ascii="Times New Roman" w:hAnsi="Times New Roman" w:cs="Times New Roman"/>
                <w:strike/>
                <w:sz w:val="20"/>
                <w:szCs w:val="20"/>
                <w:highlight w:val="yellow"/>
              </w:rPr>
              <w:lastRenderedPageBreak/>
              <w:t>that the percent moisture by weight expected in the waste mass to which liquid is added is less than 40 percent. The calculation must consider the waste mass, moisture content of the incoming waste, mass of water added to the waste including leachate recirculation and other liquids addition and precipitation, and the mass of water removed through leachate or other water losses. Moisture level sampling or mass balances calculations can be used. You must document the calculations and the basis of any assumptions. Keep the record of the calculations until you cease liquids addition.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(h) If you calculate moisture content to establish the date your bioreactor is required to begin operating the collection and control system under §63.1947(a)(2) or (c)(2), keep a record of the calculations including the information specified in paragraph (g) of this section for 5 years. Within 90 days after the bioreactor achieves 40 percent moisture content, report the results of the calculation, the date the bioreactor achieved 40 percent moisture content by weight, and the date you plan to begin collection and control system operation.</w:t>
            </w:r>
          </w:p>
          <w:p w:rsidR="00EB7550" w:rsidRPr="006D4EE5" w:rsidRDefault="00EB7550" w:rsidP="0031683A">
            <w:pPr>
              <w:pStyle w:val="Heading5"/>
              <w:jc w:val="both"/>
              <w:rPr>
                <w:strike/>
                <w:sz w:val="20"/>
                <w:szCs w:val="20"/>
                <w:highlight w:val="yellow"/>
              </w:rPr>
            </w:pPr>
            <w:r w:rsidRPr="006D4EE5">
              <w:rPr>
                <w:strike/>
                <w:sz w:val="20"/>
                <w:szCs w:val="20"/>
                <w:highlight w:val="yellow"/>
              </w:rPr>
              <w:t>Other Requirements and Information</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63.1985   </w:t>
            </w:r>
            <w:proofErr w:type="gramStart"/>
            <w:r w:rsidRPr="006D4EE5">
              <w:rPr>
                <w:strike/>
                <w:sz w:val="20"/>
                <w:szCs w:val="20"/>
                <w:highlight w:val="yellow"/>
              </w:rPr>
              <w:t>Who</w:t>
            </w:r>
            <w:proofErr w:type="gramEnd"/>
            <w:r w:rsidRPr="006D4EE5">
              <w:rPr>
                <w:strike/>
                <w:sz w:val="20"/>
                <w:szCs w:val="20"/>
                <w:highlight w:val="yellow"/>
              </w:rPr>
              <w:t xml:space="preserve"> enforces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 This subpart can be implemented and enforced by the U.S. EPA, or a delegated authority such as the applicable State, local, or tribal agency. If the EPA Administrator has delegated authority to a State, local, or tribal agency, then that agency as well as the U.S. EPA has the authority to implement and enforce this subpart. Contact the applicable EPA Regional Office to find out if this subpart is delegated to a State, local, or tribal agency.</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(b) In delegating implementation and enforcement authority of this subpart to a State, local, or tribal agency under subpart E of this part, the authorities contained in paragraph (c) of this section are retained by the EPA Administrator and are not transferred to the State, local, or tribal agency.</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(c) The authorities that will not be delegated to State, local, or tribal agencies are as follows. Approval of alternatives to the standards in §63.1955. Where these standards reference another subpart, the cited provisions will be delegated according to the delegation provisions of the referenced subpart.</w:t>
            </w:r>
          </w:p>
          <w:p w:rsidR="00EB7550" w:rsidRPr="006D4EE5" w:rsidRDefault="00EB7550" w:rsidP="0031683A">
            <w:pPr>
              <w:pStyle w:val="Heading5"/>
              <w:jc w:val="both"/>
              <w:rPr>
                <w:strike/>
                <w:sz w:val="20"/>
                <w:szCs w:val="20"/>
                <w:highlight w:val="yellow"/>
              </w:rPr>
            </w:pPr>
            <w:r w:rsidRPr="006D4EE5">
              <w:rPr>
                <w:strike/>
                <w:sz w:val="20"/>
                <w:szCs w:val="20"/>
                <w:highlight w:val="yellow"/>
              </w:rPr>
              <w:t>§ 63.1990   </w:t>
            </w:r>
            <w:proofErr w:type="gramStart"/>
            <w:r w:rsidRPr="006D4EE5">
              <w:rPr>
                <w:strike/>
                <w:sz w:val="20"/>
                <w:szCs w:val="20"/>
                <w:highlight w:val="yellow"/>
              </w:rPr>
              <w:t>What</w:t>
            </w:r>
            <w:proofErr w:type="gramEnd"/>
            <w:r w:rsidRPr="006D4EE5">
              <w:rPr>
                <w:strike/>
                <w:sz w:val="20"/>
                <w:szCs w:val="20"/>
                <w:highlight w:val="yellow"/>
              </w:rPr>
              <w:t xml:space="preserve"> definitions apply to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Terms used in this subpart are defined in the Clean Air Act, 40 CFR part 60, subparts A, Cc, and WWW; 40 CFR part 62, subpart GGG, and subpart A of this part, and this section that follows:</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Bioreactor </w:t>
            </w:r>
            <w:r w:rsidRPr="006D4EE5">
              <w:rPr>
                <w:rFonts w:ascii="Times New Roman" w:hAnsi="Times New Roman" w:cs="Times New Roman"/>
                <w:strike/>
                <w:sz w:val="20"/>
                <w:szCs w:val="20"/>
                <w:highlight w:val="yellow"/>
              </w:rPr>
              <w:t>means a MSW landfill or portion of a MSW landfill where any liquid other than leachate (leachate includes landfill gas condensate) is added in a controlled fashion into the waste mass (often in combination with recirculating leachate) to reach a minimum average moisture content of at least 40 percent by weight to accelerate or enhance the anaerobic (without oxygen) biodegradation of the waste.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Deviation </w:t>
            </w:r>
            <w:r w:rsidRPr="006D4EE5">
              <w:rPr>
                <w:rFonts w:ascii="Times New Roman" w:hAnsi="Times New Roman" w:cs="Times New Roman"/>
                <w:strike/>
                <w:sz w:val="20"/>
                <w:szCs w:val="20"/>
                <w:highlight w:val="yellow"/>
              </w:rPr>
              <w:t>means any instance in which an affected source subject to this subpart, or an owner or operator of such a source:</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(1) Fails to meet any requirement or obligation established by this subpart, including, but not limited to, any emissions limitation (including any operating limit) or work practice standard;</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(2) Fails to meet any term or condition that is adopted to implement an applicable requirement in this subpart and that is included in the operating permit for any affected source required to obtain such a permit; or</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(3) Fails to meet any emission limitation, (including any operating limit), or work practice standard in this subpart during SSM, regardless of whether or not such failure is permitted by this subpart.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lastRenderedPageBreak/>
              <w:t xml:space="preserve">Emissions limitation </w:t>
            </w:r>
            <w:r w:rsidRPr="006D4EE5">
              <w:rPr>
                <w:rFonts w:ascii="Times New Roman" w:hAnsi="Times New Roman" w:cs="Times New Roman"/>
                <w:strike/>
                <w:sz w:val="20"/>
                <w:szCs w:val="20"/>
                <w:highlight w:val="yellow"/>
              </w:rPr>
              <w:t>means any emission limit, opacity limit, operating limit, or visible emissions limit.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EPA approved State plan </w:t>
            </w:r>
            <w:r w:rsidRPr="006D4EE5">
              <w:rPr>
                <w:rFonts w:ascii="Times New Roman" w:hAnsi="Times New Roman" w:cs="Times New Roman"/>
                <w:strike/>
                <w:sz w:val="20"/>
                <w:szCs w:val="20"/>
                <w:highlight w:val="yellow"/>
              </w:rPr>
              <w:t>means a State plan that EPA has approved based on the requirements in 40 CFR part 60, subpart B to implement and enforce 40 CFR part 60, subpart Cc. An approved State plan becomes effective on the date specified in the notice published in the</w:t>
            </w:r>
            <w:r w:rsidR="006D4EE5" w:rsidRPr="006D4EE5">
              <w:rPr>
                <w:rFonts w:ascii="Times New Roman" w:hAnsi="Times New Roman" w:cs="Times New Roman"/>
                <w:strike/>
                <w:sz w:val="20"/>
                <w:szCs w:val="20"/>
                <w:highlight w:val="yellow"/>
              </w:rPr>
              <w:t xml:space="preserve"> </w:t>
            </w:r>
            <w:r w:rsidRPr="006D4EE5">
              <w:rPr>
                <w:rFonts w:ascii="Times New Roman" w:hAnsi="Times New Roman" w:cs="Times New Roman"/>
                <w:strike/>
                <w:sz w:val="20"/>
                <w:szCs w:val="20"/>
                <w:highlight w:val="yellow"/>
              </w:rPr>
              <w:t>Federal Register</w:t>
            </w:r>
            <w:r w:rsidR="006D4EE5" w:rsidRPr="006D4EE5">
              <w:rPr>
                <w:rFonts w:ascii="Times New Roman" w:hAnsi="Times New Roman" w:cs="Times New Roman"/>
                <w:strike/>
                <w:sz w:val="20"/>
                <w:szCs w:val="20"/>
                <w:highlight w:val="yellow"/>
              </w:rPr>
              <w:t xml:space="preserve"> </w:t>
            </w:r>
            <w:r w:rsidRPr="006D4EE5">
              <w:rPr>
                <w:rFonts w:ascii="Times New Roman" w:hAnsi="Times New Roman" w:cs="Times New Roman"/>
                <w:strike/>
                <w:sz w:val="20"/>
                <w:szCs w:val="20"/>
                <w:highlight w:val="yellow"/>
              </w:rPr>
              <w:t>announcing EPA's approval.</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Federal plan </w:t>
            </w:r>
            <w:r w:rsidRPr="006D4EE5">
              <w:rPr>
                <w:rFonts w:ascii="Times New Roman" w:hAnsi="Times New Roman" w:cs="Times New Roman"/>
                <w:strike/>
                <w:sz w:val="20"/>
                <w:szCs w:val="20"/>
                <w:highlight w:val="yellow"/>
              </w:rPr>
              <w:t>means the EPA plan to implement 40 CFR part 60, subpart Cc for existing MSW landfills located in States and Indian country where State plans or tribal plans are not currently in effect. On the effective date of an EPA approved State or tribal plan, the Federal plan no longer applies. The Federal plan is found at 40 CFR part 62, subpart GGG.</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Municipal solid waste landfill or MSW landfill </w:t>
            </w:r>
            <w:r w:rsidRPr="006D4EE5">
              <w:rPr>
                <w:rFonts w:ascii="Times New Roman" w:hAnsi="Times New Roman" w:cs="Times New Roman"/>
                <w:strike/>
                <w:sz w:val="20"/>
                <w:szCs w:val="20"/>
                <w:highlight w:val="yellow"/>
              </w:rPr>
              <w:t>means an entire disposal facility in a contiguous geographical space where household waste is placed in or on land. A municipal solid waste landfill may also receive other types of RCRA Subtitle D wastes (see §257.2 of this chapter) such as commercial solid waste, nonhazardous sludge, conditionally exempt small quantity generator waste, and industrial solid waste. Portions of a municipal solid waste landfill may be separated by access roads. A municipal solid waste landfill may be publicly or privately owned. A municipal solid waste landfill may be a new municipal solid waste landfill, an existing municipal solid waste landfill, or a lateral expansion.</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Tribal plan </w:t>
            </w:r>
            <w:r w:rsidRPr="006D4EE5">
              <w:rPr>
                <w:rFonts w:ascii="Times New Roman" w:hAnsi="Times New Roman" w:cs="Times New Roman"/>
                <w:strike/>
                <w:sz w:val="20"/>
                <w:szCs w:val="20"/>
                <w:highlight w:val="yellow"/>
              </w:rPr>
              <w:t>means a plan submitted by a tribal authority pursuant to 40 CFR parts 9, 35, 49, 50, and 81 to implement and enforce 40 CFR part 60, subpart Cc.</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i/>
                <w:iCs/>
                <w:strike/>
                <w:sz w:val="20"/>
                <w:szCs w:val="20"/>
                <w:highlight w:val="yellow"/>
              </w:rPr>
              <w:t xml:space="preserve">Work practice standard </w:t>
            </w:r>
            <w:r w:rsidRPr="006D4EE5">
              <w:rPr>
                <w:rFonts w:ascii="Times New Roman" w:hAnsi="Times New Roman" w:cs="Times New Roman"/>
                <w:strike/>
                <w:sz w:val="20"/>
                <w:szCs w:val="20"/>
                <w:highlight w:val="yellow"/>
              </w:rPr>
              <w:t xml:space="preserve">means any design, equipment, work practice, or operational standard, or combination </w:t>
            </w:r>
            <w:proofErr w:type="gramStart"/>
            <w:r w:rsidRPr="006D4EE5">
              <w:rPr>
                <w:rFonts w:ascii="Times New Roman" w:hAnsi="Times New Roman" w:cs="Times New Roman"/>
                <w:strike/>
                <w:sz w:val="20"/>
                <w:szCs w:val="20"/>
                <w:highlight w:val="yellow"/>
              </w:rPr>
              <w:t>thereof, that</w:t>
            </w:r>
            <w:proofErr w:type="gramEnd"/>
            <w:r w:rsidRPr="006D4EE5">
              <w:rPr>
                <w:rFonts w:ascii="Times New Roman" w:hAnsi="Times New Roman" w:cs="Times New Roman"/>
                <w:strike/>
                <w:sz w:val="20"/>
                <w:szCs w:val="20"/>
                <w:highlight w:val="yellow"/>
              </w:rPr>
              <w:t xml:space="preserve"> is promulgated pursuant to section 112(h) of the Clean Air Act.</w:t>
            </w:r>
          </w:p>
          <w:p w:rsidR="00EB7550" w:rsidRPr="006D4EE5" w:rsidRDefault="00EB7550" w:rsidP="0031683A">
            <w:pPr>
              <w:pStyle w:val="NormalWeb"/>
              <w:jc w:val="both"/>
              <w:rPr>
                <w:rFonts w:ascii="Times New Roman" w:hAnsi="Times New Roman" w:cs="Times New Roman"/>
                <w:strike/>
                <w:sz w:val="20"/>
                <w:szCs w:val="20"/>
                <w:highlight w:val="yellow"/>
              </w:rPr>
            </w:pPr>
            <w:r w:rsidRPr="006D4EE5">
              <w:rPr>
                <w:rFonts w:ascii="Times New Roman" w:hAnsi="Times New Roman" w:cs="Times New Roman"/>
                <w:strike/>
                <w:sz w:val="20"/>
                <w:szCs w:val="20"/>
                <w:highlight w:val="yellow"/>
              </w:rPr>
              <w:t>As stated in §§63.1955 and 63.1980, you must meet each requirement in the following table that applies to you.</w:t>
            </w:r>
          </w:p>
          <w:p w:rsidR="00EB7550" w:rsidRPr="006D4EE5" w:rsidRDefault="00EB7550" w:rsidP="0031683A">
            <w:pPr>
              <w:pStyle w:val="Heading5"/>
              <w:jc w:val="both"/>
              <w:rPr>
                <w:strike/>
                <w:sz w:val="20"/>
                <w:szCs w:val="20"/>
                <w:highlight w:val="yellow"/>
              </w:rPr>
            </w:pPr>
            <w:r w:rsidRPr="006D4EE5">
              <w:rPr>
                <w:strike/>
                <w:sz w:val="20"/>
                <w:szCs w:val="20"/>
                <w:highlight w:val="yellow"/>
              </w:rPr>
              <w:t>Table 1 to Subpart AAAA of Part 63—Applicability of NESHAP General Provisions to Subpart AAAA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50"/>
              <w:gridCol w:w="6164"/>
              <w:gridCol w:w="2820"/>
            </w:tblGrid>
            <w:tr w:rsidR="00EB7550" w:rsidRPr="006D4EE5"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6D4EE5" w:rsidRDefault="00EB7550" w:rsidP="0031683A">
                  <w:pPr>
                    <w:jc w:val="both"/>
                    <w:rPr>
                      <w:b/>
                      <w:bCs/>
                      <w:strike/>
                      <w:sz w:val="20"/>
                      <w:highlight w:val="yellow"/>
                    </w:rPr>
                  </w:pPr>
                  <w:r w:rsidRPr="006D4EE5">
                    <w:rPr>
                      <w:b/>
                      <w:bCs/>
                      <w:strike/>
                      <w:sz w:val="20"/>
                      <w:highlight w:val="yellow"/>
                    </w:rPr>
                    <w:t>Part 63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6D4EE5" w:rsidRDefault="00EB7550" w:rsidP="0031683A">
                  <w:pPr>
                    <w:jc w:val="both"/>
                    <w:rPr>
                      <w:b/>
                      <w:bCs/>
                      <w:strike/>
                      <w:sz w:val="20"/>
                      <w:highlight w:val="yellow"/>
                    </w:rPr>
                  </w:pPr>
                  <w:r w:rsidRPr="006D4EE5">
                    <w:rPr>
                      <w:b/>
                      <w:bCs/>
                      <w:strike/>
                      <w:sz w:val="20"/>
                      <w:highlight w:val="yellow"/>
                    </w:rPr>
                    <w:t>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6D4EE5" w:rsidRDefault="00EB7550" w:rsidP="0031683A">
                  <w:pPr>
                    <w:jc w:val="both"/>
                    <w:rPr>
                      <w:b/>
                      <w:bCs/>
                      <w:strike/>
                      <w:sz w:val="20"/>
                      <w:highlight w:val="yellow"/>
                    </w:rPr>
                  </w:pPr>
                  <w:r w:rsidRPr="006D4EE5">
                    <w:rPr>
                      <w:b/>
                      <w:bCs/>
                      <w:strike/>
                      <w:sz w:val="20"/>
                      <w:highlight w:val="yellow"/>
                    </w:rPr>
                    <w:t>Explanation</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Applicability: general applicability of NESHAP in this part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Affected sources are already subject to the provisions of paragraphs (a)(10)–(12) through the same provisions under 40 CFR, part 60 subpart A.</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63.1(b)</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Applicability determination for stationary sources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Title V permitting</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63.2</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63.4</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Affected sources are already subject to the provisions of paragraph (b) through the same provisions under 40 CFR, part 60 subpart A.</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63.5(b)</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63.6(e)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Operation and maintenance requirements, startup, shutdown and malfunction plan provisions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63.6(f)</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 xml:space="preserve">Affected sources are already subject to the provisions of </w:t>
                  </w:r>
                  <w:r w:rsidRPr="006D4EE5">
                    <w:rPr>
                      <w:strike/>
                      <w:sz w:val="20"/>
                      <w:highlight w:val="yellow"/>
                    </w:rPr>
                    <w:lastRenderedPageBreak/>
                    <w:t>paragraphs (f)(1) and (2)(i) through the same provisions under 40 CFR, part 60 subpart A.</w:t>
                  </w: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lastRenderedPageBreak/>
                    <w:t>63.10(b)(2)(i)–(b)(2)(v)</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63.10(d)(5)</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63.12(a)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These provisions do not preclude the State from adopting and enforcing any standard, limitation, etc., requiring permits, or requiring emissions reductions in excess of those specified</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p>
              </w:tc>
            </w:tr>
            <w:tr w:rsidR="00EB7550" w:rsidRPr="006D4EE5"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highlight w:val="yellow"/>
                    </w:rPr>
                  </w:pPr>
                  <w:r w:rsidRPr="006D4EE5">
                    <w:rPr>
                      <w:strike/>
                      <w:sz w:val="20"/>
                      <w:highlight w:val="yellow"/>
                    </w:rPr>
                    <w:t>63.15</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rPr>
                  </w:pPr>
                  <w:r w:rsidRPr="006D4EE5">
                    <w:rPr>
                      <w:strike/>
                      <w:sz w:val="20"/>
                      <w:highlight w:val="yellow"/>
                    </w:rPr>
                    <w:t>Availability of information and 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6D4EE5" w:rsidRDefault="00EB7550" w:rsidP="0031683A">
                  <w:pPr>
                    <w:jc w:val="both"/>
                    <w:rPr>
                      <w:strike/>
                      <w:sz w:val="20"/>
                    </w:rPr>
                  </w:pPr>
                </w:p>
              </w:tc>
            </w:tr>
          </w:tbl>
          <w:p w:rsidR="00EB7550" w:rsidRPr="006D4EE5" w:rsidRDefault="00EB7550" w:rsidP="0031683A">
            <w:pPr>
              <w:pStyle w:val="NormalWeb"/>
              <w:jc w:val="both"/>
              <w:rPr>
                <w:strike/>
              </w:rPr>
            </w:pPr>
            <w:r w:rsidRPr="006D4EE5">
              <w:rPr>
                <w:strike/>
              </w:rPr>
              <w:t> </w:t>
            </w:r>
          </w:p>
        </w:tc>
      </w:tr>
    </w:tbl>
    <w:p w:rsidR="00AD504E" w:rsidRDefault="00AD504E" w:rsidP="00EB7550">
      <w:pPr>
        <w:pStyle w:val="NormalWeb"/>
        <w:jc w:val="both"/>
        <w:rPr>
          <w:rFonts w:ascii="Times New Roman" w:hAnsi="Times New Roman" w:cs="Times New Roman"/>
          <w:b/>
          <w:bCs/>
          <w:sz w:val="20"/>
          <w:szCs w:val="20"/>
        </w:rPr>
      </w:pPr>
    </w:p>
    <w:p w:rsidR="00AD504E" w:rsidRPr="00AD504E" w:rsidRDefault="00AD504E" w:rsidP="00AD504E"/>
    <w:p w:rsidR="00AD504E" w:rsidRPr="00AD504E" w:rsidRDefault="00AD504E" w:rsidP="00AD504E"/>
    <w:p w:rsidR="00AD504E" w:rsidRPr="00AD504E" w:rsidRDefault="00AD504E" w:rsidP="00AD504E"/>
    <w:p w:rsidR="00AD504E" w:rsidRPr="00AD504E" w:rsidRDefault="00AD504E" w:rsidP="00AD504E"/>
    <w:p w:rsidR="00AD504E" w:rsidRPr="00AD504E" w:rsidRDefault="00AD504E" w:rsidP="00AD504E"/>
    <w:p w:rsidR="00AD504E" w:rsidRPr="00AD504E" w:rsidRDefault="00AD504E" w:rsidP="00AD504E"/>
    <w:p w:rsidR="00AD504E" w:rsidRDefault="00AD504E" w:rsidP="00AD504E"/>
    <w:p w:rsidR="00AD504E" w:rsidRDefault="00AD504E" w:rsidP="00AD504E">
      <w:pPr>
        <w:jc w:val="center"/>
      </w:pPr>
    </w:p>
    <w:p w:rsidR="00AD504E" w:rsidRDefault="00AD504E" w:rsidP="00AD504E"/>
    <w:p w:rsidR="00EB7550" w:rsidRPr="00AD504E" w:rsidRDefault="00EB7550" w:rsidP="00AD504E">
      <w:pPr>
        <w:sectPr w:rsidR="00EB7550" w:rsidRPr="00AD504E" w:rsidSect="0031683A">
          <w:headerReference w:type="even" r:id="rId68"/>
          <w:headerReference w:type="default" r:id="rId69"/>
          <w:footerReference w:type="default" r:id="rId70"/>
          <w:headerReference w:type="first" r:id="rId71"/>
          <w:pgSz w:w="12240" w:h="15840" w:code="1"/>
          <w:pgMar w:top="1008" w:right="1008" w:bottom="1008" w:left="1008" w:header="720" w:footer="576" w:gutter="0"/>
          <w:paperSrc w:first="7" w:other="7"/>
          <w:pgNumType w:start="1"/>
          <w:cols w:space="720"/>
          <w:docGrid w:linePitch="299"/>
        </w:sectPr>
      </w:pPr>
      <w:bookmarkStart w:id="1" w:name="_GoBack"/>
      <w:bookmarkEnd w:id="1"/>
    </w:p>
    <w:p w:rsidR="002E78A4" w:rsidRDefault="002E78A4" w:rsidP="002E78A4">
      <w:r>
        <w:lastRenderedPageBreak/>
        <w:t>The following attachments are included for convenient reference:</w:t>
      </w:r>
    </w:p>
    <w:p w:rsidR="002E78A4" w:rsidRDefault="002E78A4" w:rsidP="002E78A4"/>
    <w:p w:rsidR="002E78A4" w:rsidRPr="002E78A4" w:rsidRDefault="002E78A4" w:rsidP="002E78A4">
      <w:pPr>
        <w:tabs>
          <w:tab w:val="left" w:pos="360"/>
          <w:tab w:val="left" w:pos="720"/>
          <w:tab w:val="left" w:pos="1080"/>
          <w:tab w:val="left" w:pos="1440"/>
        </w:tabs>
        <w:rPr>
          <w:strike/>
          <w:highlight w:val="yellow"/>
        </w:rPr>
      </w:pPr>
      <w:r w:rsidRPr="002E78A4">
        <w:rPr>
          <w:strike/>
          <w:highlight w:val="yellow"/>
        </w:rPr>
        <w:t>Figure 1</w:t>
      </w:r>
      <w:proofErr w:type="gramStart"/>
      <w:r w:rsidRPr="002E78A4">
        <w:rPr>
          <w:strike/>
          <w:highlight w:val="yellow"/>
        </w:rPr>
        <w:t>,  Summary</w:t>
      </w:r>
      <w:proofErr w:type="gramEnd"/>
      <w:r w:rsidRPr="002E78A4">
        <w:rPr>
          <w:strike/>
          <w:highlight w:val="yellow"/>
        </w:rPr>
        <w:t xml:space="preserve"> Report-Gaseous and Opacity Excess Emission and </w:t>
      </w:r>
    </w:p>
    <w:p w:rsidR="002E78A4" w:rsidRPr="002E78A4" w:rsidRDefault="002E78A4" w:rsidP="002E78A4">
      <w:pPr>
        <w:tabs>
          <w:tab w:val="left" w:pos="360"/>
          <w:tab w:val="left" w:pos="720"/>
          <w:tab w:val="left" w:pos="1080"/>
          <w:tab w:val="left" w:pos="1440"/>
        </w:tabs>
        <w:rPr>
          <w:strike/>
        </w:rPr>
      </w:pPr>
      <w:r w:rsidRPr="002E78A4">
        <w:rPr>
          <w:strike/>
          <w:highlight w:val="yellow"/>
        </w:rPr>
        <w:tab/>
      </w:r>
      <w:r w:rsidRPr="002E78A4">
        <w:rPr>
          <w:strike/>
          <w:highlight w:val="yellow"/>
        </w:rPr>
        <w:tab/>
        <w:t xml:space="preserve">   Monitoring System Performance (40 CFR 60, July, 1996).</w:t>
      </w:r>
    </w:p>
    <w:p w:rsidR="002E78A4" w:rsidRPr="002E78A4" w:rsidRDefault="002E78A4" w:rsidP="002E78A4">
      <w:pPr>
        <w:rPr>
          <w:u w:val="double"/>
        </w:rPr>
      </w:pPr>
      <w:r w:rsidRPr="002E78A4">
        <w:rPr>
          <w:highlight w:val="yellow"/>
          <w:u w:val="double"/>
        </w:rPr>
        <w:t>Table H, Permit History.</w:t>
      </w:r>
    </w:p>
    <w:p w:rsidR="002E78A4" w:rsidRDefault="002E78A4" w:rsidP="002E78A4"/>
    <w:p w:rsidR="00EB7550" w:rsidRDefault="00EB7550" w:rsidP="00EB7550">
      <w:pPr>
        <w:jc w:val="both"/>
      </w:pPr>
    </w:p>
    <w:p w:rsidR="00EB7550" w:rsidRDefault="00EB7550" w:rsidP="00EB7550">
      <w:pPr>
        <w:jc w:val="both"/>
        <w:sectPr w:rsidR="00EB7550" w:rsidSect="0031683A">
          <w:headerReference w:type="even" r:id="rId72"/>
          <w:headerReference w:type="default" r:id="rId73"/>
          <w:footerReference w:type="default" r:id="rId74"/>
          <w:headerReference w:type="first" r:id="rId75"/>
          <w:pgSz w:w="12240" w:h="15840" w:code="1"/>
          <w:pgMar w:top="1008" w:right="1008" w:bottom="1008" w:left="1008" w:header="720" w:footer="576" w:gutter="0"/>
          <w:pgNumType w:start="1"/>
          <w:cols w:space="720"/>
        </w:sectPr>
      </w:pPr>
    </w:p>
    <w:p w:rsidR="00EB7550" w:rsidRPr="00E15331" w:rsidRDefault="00EB7550" w:rsidP="00EB7550">
      <w:pPr>
        <w:ind w:left="504" w:hanging="504"/>
        <w:jc w:val="both"/>
        <w:rPr>
          <w:strike/>
          <w:sz w:val="20"/>
          <w:highlight w:val="yellow"/>
        </w:rPr>
      </w:pPr>
      <w:r w:rsidRPr="00E15331">
        <w:rPr>
          <w:strike/>
          <w:sz w:val="20"/>
          <w:highlight w:val="yellow"/>
        </w:rPr>
        <w:lastRenderedPageBreak/>
        <w:t>[Note: This form is referenced in 40 CFR 60.7, Subpart A-General Provisions]</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 xml:space="preserve">Pollutant </w:t>
      </w:r>
      <w:r w:rsidRPr="00E15331">
        <w:rPr>
          <w:i/>
          <w:strike/>
          <w:sz w:val="20"/>
          <w:highlight w:val="yellow"/>
        </w:rPr>
        <w:t>(Circle One)</w:t>
      </w:r>
      <w:r w:rsidRPr="00E15331">
        <w:rPr>
          <w:strike/>
          <w:sz w:val="20"/>
          <w:highlight w:val="yellow"/>
        </w:rPr>
        <w:t>:</w:t>
      </w:r>
      <w:r w:rsidRPr="00E15331">
        <w:rPr>
          <w:strike/>
          <w:sz w:val="20"/>
          <w:highlight w:val="yellow"/>
        </w:rPr>
        <w:tab/>
        <w:t>SO</w:t>
      </w:r>
      <w:r w:rsidRPr="00E15331">
        <w:rPr>
          <w:strike/>
          <w:sz w:val="20"/>
          <w:highlight w:val="yellow"/>
          <w:vertAlign w:val="subscript"/>
        </w:rPr>
        <w:t>2</w:t>
      </w:r>
      <w:r w:rsidRPr="00E15331">
        <w:rPr>
          <w:strike/>
          <w:sz w:val="20"/>
          <w:highlight w:val="yellow"/>
        </w:rPr>
        <w:tab/>
      </w:r>
      <w:r w:rsidRPr="00E15331">
        <w:rPr>
          <w:strike/>
          <w:sz w:val="20"/>
          <w:highlight w:val="yellow"/>
        </w:rPr>
        <w:tab/>
        <w:t>NO</w:t>
      </w:r>
      <w:r w:rsidRPr="00E15331">
        <w:rPr>
          <w:strike/>
          <w:sz w:val="20"/>
          <w:highlight w:val="yellow"/>
          <w:vertAlign w:val="subscript"/>
        </w:rPr>
        <w:t>X</w:t>
      </w:r>
      <w:r w:rsidRPr="00E15331">
        <w:rPr>
          <w:strike/>
          <w:sz w:val="20"/>
          <w:highlight w:val="yellow"/>
        </w:rPr>
        <w:tab/>
        <w:t>TRS</w:t>
      </w:r>
      <w:r w:rsidRPr="00E15331">
        <w:rPr>
          <w:strike/>
          <w:sz w:val="20"/>
          <w:highlight w:val="yellow"/>
        </w:rPr>
        <w:tab/>
        <w:t>H</w:t>
      </w:r>
      <w:r w:rsidRPr="00E15331">
        <w:rPr>
          <w:strike/>
          <w:sz w:val="20"/>
          <w:highlight w:val="yellow"/>
          <w:vertAlign w:val="subscript"/>
        </w:rPr>
        <w:t>2</w:t>
      </w:r>
      <w:r w:rsidRPr="00E15331">
        <w:rPr>
          <w:strike/>
          <w:sz w:val="20"/>
          <w:highlight w:val="yellow"/>
        </w:rPr>
        <w:t>S</w:t>
      </w:r>
      <w:r w:rsidRPr="00E15331">
        <w:rPr>
          <w:strike/>
          <w:sz w:val="20"/>
          <w:highlight w:val="yellow"/>
        </w:rPr>
        <w:tab/>
      </w:r>
      <w:r w:rsidRPr="00E15331">
        <w:rPr>
          <w:strike/>
          <w:sz w:val="20"/>
          <w:highlight w:val="yellow"/>
        </w:rPr>
        <w:tab/>
        <w:t>CO</w:t>
      </w:r>
      <w:r w:rsidRPr="00E15331">
        <w:rPr>
          <w:strike/>
          <w:sz w:val="20"/>
          <w:highlight w:val="yellow"/>
        </w:rPr>
        <w:tab/>
      </w:r>
      <w:r w:rsidRPr="00E15331">
        <w:rPr>
          <w:strike/>
          <w:sz w:val="20"/>
          <w:highlight w:val="yellow"/>
        </w:rPr>
        <w:tab/>
        <w:t>Opacity</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Reporting period dates:   From ________________________    to 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Company:   _____________________________________________________________________________________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Emission Limitation:   ____________________________________________________________________________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Address:   ______________________________________________________________________________________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Monitor Manufacturer:   ___________________________________________________________________________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 xml:space="preserve">                  Model No.:   ___________________________________________________________________________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Date of Latest CMS Certification or Audit:   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Process Unit(s) Description:   _______________________________________________________________________</w:t>
      </w:r>
    </w:p>
    <w:p w:rsidR="00EB7550" w:rsidRPr="00E15331" w:rsidRDefault="00EB7550" w:rsidP="00EB7550">
      <w:pPr>
        <w:ind w:left="504"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rPr>
        <w:t xml:space="preserve">Total source operating time in reporting period </w:t>
      </w:r>
      <w:r w:rsidRPr="00E15331">
        <w:rPr>
          <w:strike/>
          <w:sz w:val="20"/>
          <w:highlight w:val="yellow"/>
          <w:vertAlign w:val="superscript"/>
        </w:rPr>
        <w:t>1</w:t>
      </w:r>
      <w:r w:rsidRPr="00E15331">
        <w:rPr>
          <w:strike/>
          <w:sz w:val="20"/>
          <w:highlight w:val="yellow"/>
        </w:rPr>
        <w:t>:   ____________________________</w:t>
      </w:r>
    </w:p>
    <w:p w:rsidR="00EB7550" w:rsidRPr="00E15331" w:rsidRDefault="00EB7550" w:rsidP="00EB7550">
      <w:pPr>
        <w:ind w:left="504" w:hanging="504"/>
        <w:jc w:val="both"/>
        <w:rPr>
          <w:strike/>
          <w:sz w:val="20"/>
          <w:highlight w:val="yellow"/>
        </w:rPr>
      </w:pPr>
    </w:p>
    <w:tbl>
      <w:tblPr>
        <w:tblW w:w="10080" w:type="dxa"/>
        <w:tblInd w:w="108" w:type="dxa"/>
        <w:tblLayout w:type="fixed"/>
        <w:tblLook w:val="0000" w:firstRow="0" w:lastRow="0" w:firstColumn="0" w:lastColumn="0" w:noHBand="0" w:noVBand="0"/>
      </w:tblPr>
      <w:tblGrid>
        <w:gridCol w:w="4950"/>
        <w:gridCol w:w="5130"/>
      </w:tblGrid>
      <w:tr w:rsidR="00EB7550" w:rsidRPr="00E15331" w:rsidTr="0031683A">
        <w:tc>
          <w:tcPr>
            <w:tcW w:w="4950" w:type="dxa"/>
            <w:tcBorders>
              <w:top w:val="single" w:sz="6" w:space="0" w:color="auto"/>
              <w:left w:val="single" w:sz="6" w:space="0" w:color="auto"/>
              <w:bottom w:val="single" w:sz="6" w:space="0" w:color="auto"/>
              <w:right w:val="single" w:sz="6" w:space="0" w:color="auto"/>
            </w:tcBorders>
          </w:tcPr>
          <w:p w:rsidR="00EB7550" w:rsidRPr="00E15331" w:rsidRDefault="00EB7550" w:rsidP="0031683A">
            <w:pPr>
              <w:spacing w:line="280" w:lineRule="atLeast"/>
              <w:jc w:val="both"/>
              <w:rPr>
                <w:b/>
                <w:strike/>
                <w:sz w:val="20"/>
                <w:highlight w:val="yellow"/>
              </w:rPr>
            </w:pPr>
            <w:r w:rsidRPr="00E15331">
              <w:rPr>
                <w:b/>
                <w:strike/>
                <w:sz w:val="20"/>
                <w:highlight w:val="yellow"/>
              </w:rPr>
              <w:t xml:space="preserve">Emission data summary </w:t>
            </w:r>
            <w:r w:rsidRPr="00E15331">
              <w:rPr>
                <w:strike/>
                <w:sz w:val="20"/>
                <w:highlight w:val="yellow"/>
                <w:vertAlign w:val="superscript"/>
              </w:rPr>
              <w:t>1</w:t>
            </w:r>
          </w:p>
        </w:tc>
        <w:tc>
          <w:tcPr>
            <w:tcW w:w="5130" w:type="dxa"/>
            <w:tcBorders>
              <w:top w:val="single" w:sz="6" w:space="0" w:color="auto"/>
              <w:left w:val="nil"/>
              <w:bottom w:val="single" w:sz="6" w:space="0" w:color="auto"/>
              <w:right w:val="single" w:sz="6" w:space="0" w:color="auto"/>
            </w:tcBorders>
          </w:tcPr>
          <w:p w:rsidR="00EB7550" w:rsidRPr="00E15331" w:rsidRDefault="00EB7550" w:rsidP="0031683A">
            <w:pPr>
              <w:spacing w:line="280" w:lineRule="atLeast"/>
              <w:jc w:val="both"/>
              <w:rPr>
                <w:b/>
                <w:strike/>
                <w:sz w:val="20"/>
                <w:highlight w:val="yellow"/>
              </w:rPr>
            </w:pPr>
            <w:r w:rsidRPr="00E15331">
              <w:rPr>
                <w:b/>
                <w:strike/>
                <w:sz w:val="20"/>
                <w:highlight w:val="yellow"/>
              </w:rPr>
              <w:t xml:space="preserve">CMS performance summary </w:t>
            </w:r>
            <w:r w:rsidRPr="00E15331">
              <w:rPr>
                <w:strike/>
                <w:sz w:val="20"/>
                <w:highlight w:val="yellow"/>
                <w:vertAlign w:val="superscript"/>
              </w:rPr>
              <w:t>1</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1.  Duration of excess emissions in reporting period due to:</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1.  CMS downtime in reporting period due to:</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a. Startup/shutdown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w:t>
            </w:r>
            <w:proofErr w:type="gramStart"/>
            <w:r w:rsidRPr="00E15331">
              <w:rPr>
                <w:strike/>
                <w:sz w:val="20"/>
                <w:highlight w:val="yellow"/>
              </w:rPr>
              <w:t>a.  Monitor</w:t>
            </w:r>
            <w:proofErr w:type="gramEnd"/>
            <w:r w:rsidRPr="00E15331">
              <w:rPr>
                <w:strike/>
                <w:sz w:val="20"/>
                <w:highlight w:val="yellow"/>
              </w:rPr>
              <w:t xml:space="preserve"> equipment malfunctions ..................... ____</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b. Control equipment problems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w:t>
            </w:r>
            <w:proofErr w:type="gramStart"/>
            <w:r w:rsidRPr="00E15331">
              <w:rPr>
                <w:strike/>
                <w:sz w:val="20"/>
                <w:highlight w:val="yellow"/>
              </w:rPr>
              <w:t>b.  Non</w:t>
            </w:r>
            <w:proofErr w:type="gramEnd"/>
            <w:r w:rsidRPr="00E15331">
              <w:rPr>
                <w:strike/>
                <w:sz w:val="20"/>
                <w:highlight w:val="yellow"/>
              </w:rPr>
              <w:t>-Monitor equipment malfunctions ............. ____</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c. Process problems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w:t>
            </w:r>
            <w:proofErr w:type="gramStart"/>
            <w:r w:rsidRPr="00E15331">
              <w:rPr>
                <w:strike/>
                <w:sz w:val="20"/>
                <w:highlight w:val="yellow"/>
              </w:rPr>
              <w:t>c.  Quality</w:t>
            </w:r>
            <w:proofErr w:type="gramEnd"/>
            <w:r w:rsidRPr="00E15331">
              <w:rPr>
                <w:strike/>
                <w:sz w:val="20"/>
                <w:highlight w:val="yellow"/>
              </w:rPr>
              <w:t xml:space="preserve"> assurance calibration ........................... ____</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d. Other known causes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w:t>
            </w:r>
            <w:proofErr w:type="gramStart"/>
            <w:r w:rsidRPr="00E15331">
              <w:rPr>
                <w:strike/>
                <w:sz w:val="20"/>
                <w:highlight w:val="yellow"/>
              </w:rPr>
              <w:t>d.  Other</w:t>
            </w:r>
            <w:proofErr w:type="gramEnd"/>
            <w:r w:rsidRPr="00E15331">
              <w:rPr>
                <w:strike/>
                <w:sz w:val="20"/>
                <w:highlight w:val="yellow"/>
              </w:rPr>
              <w:t xml:space="preserve"> known causes ......................................... ____</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e. Unknown causes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   </w:t>
            </w:r>
            <w:proofErr w:type="gramStart"/>
            <w:r w:rsidRPr="00E15331">
              <w:rPr>
                <w:strike/>
                <w:sz w:val="20"/>
                <w:highlight w:val="yellow"/>
              </w:rPr>
              <w:t>e.  Unknown</w:t>
            </w:r>
            <w:proofErr w:type="gramEnd"/>
            <w:r w:rsidRPr="00E15331">
              <w:rPr>
                <w:strike/>
                <w:sz w:val="20"/>
                <w:highlight w:val="yellow"/>
              </w:rPr>
              <w:t xml:space="preserve"> causes ............................................... ____</w:t>
            </w:r>
          </w:p>
        </w:tc>
      </w:tr>
      <w:tr w:rsidR="00EB7550" w:rsidRPr="00E15331" w:rsidTr="0031683A">
        <w:tc>
          <w:tcPr>
            <w:tcW w:w="4950" w:type="dxa"/>
            <w:tcBorders>
              <w:left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2.  Total duration of excess emissions .................. ____</w:t>
            </w:r>
          </w:p>
        </w:tc>
        <w:tc>
          <w:tcPr>
            <w:tcW w:w="5130" w:type="dxa"/>
            <w:tcBorders>
              <w:left w:val="nil"/>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 xml:space="preserve">2.  Total CMS </w:t>
            </w:r>
            <w:proofErr w:type="gramStart"/>
            <w:r w:rsidRPr="00E15331">
              <w:rPr>
                <w:strike/>
                <w:sz w:val="20"/>
                <w:highlight w:val="yellow"/>
              </w:rPr>
              <w:t>Downtime .........................................</w:t>
            </w:r>
            <w:proofErr w:type="gramEnd"/>
            <w:r w:rsidRPr="00E15331">
              <w:rPr>
                <w:strike/>
                <w:sz w:val="20"/>
                <w:highlight w:val="yellow"/>
              </w:rPr>
              <w:t xml:space="preserve"> ____</w:t>
            </w:r>
          </w:p>
        </w:tc>
      </w:tr>
      <w:tr w:rsidR="00EB7550" w:rsidRPr="00E15331" w:rsidTr="0031683A">
        <w:tc>
          <w:tcPr>
            <w:tcW w:w="4950" w:type="dxa"/>
            <w:tcBorders>
              <w:left w:val="single" w:sz="6" w:space="0" w:color="auto"/>
              <w:bottom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3.  Total duration of excess  emissions x (100) / [Total          source operating time] .......................................... ____ %</w:t>
            </w:r>
            <w:r w:rsidRPr="00E15331">
              <w:rPr>
                <w:strike/>
                <w:sz w:val="20"/>
                <w:highlight w:val="yellow"/>
                <w:vertAlign w:val="superscript"/>
              </w:rPr>
              <w:t>2</w:t>
            </w:r>
          </w:p>
        </w:tc>
        <w:tc>
          <w:tcPr>
            <w:tcW w:w="5130" w:type="dxa"/>
            <w:tcBorders>
              <w:left w:val="nil"/>
              <w:bottom w:val="single" w:sz="6" w:space="0" w:color="auto"/>
              <w:right w:val="single" w:sz="6" w:space="0" w:color="auto"/>
            </w:tcBorders>
          </w:tcPr>
          <w:p w:rsidR="00EB7550" w:rsidRPr="00E15331" w:rsidRDefault="00EB7550" w:rsidP="0031683A">
            <w:pPr>
              <w:spacing w:line="260" w:lineRule="atLeast"/>
              <w:jc w:val="both"/>
              <w:rPr>
                <w:strike/>
                <w:sz w:val="20"/>
                <w:highlight w:val="yellow"/>
              </w:rPr>
            </w:pPr>
            <w:r w:rsidRPr="00E15331">
              <w:rPr>
                <w:strike/>
                <w:sz w:val="20"/>
                <w:highlight w:val="yellow"/>
              </w:rPr>
              <w:t>3.  [Total CMS Downtime] x (100) / [Total source operating time] ............................................……………......... ____ %</w:t>
            </w:r>
            <w:r w:rsidRPr="00E15331">
              <w:rPr>
                <w:strike/>
                <w:sz w:val="20"/>
                <w:highlight w:val="yellow"/>
                <w:vertAlign w:val="superscript"/>
              </w:rPr>
              <w:t>2</w:t>
            </w:r>
          </w:p>
        </w:tc>
      </w:tr>
    </w:tbl>
    <w:p w:rsidR="00EB7550" w:rsidRPr="00E15331" w:rsidRDefault="00EB7550" w:rsidP="00EB7550">
      <w:pPr>
        <w:ind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strike/>
          <w:sz w:val="20"/>
          <w:highlight w:val="yellow"/>
          <w:vertAlign w:val="superscript"/>
        </w:rPr>
        <w:t>1</w:t>
      </w:r>
      <w:r w:rsidRPr="00E15331">
        <w:rPr>
          <w:strike/>
          <w:sz w:val="20"/>
          <w:highlight w:val="yellow"/>
        </w:rPr>
        <w:tab/>
        <w:t xml:space="preserve">For opacity, record all times in minutes. For gases, record all times in hours.   </w:t>
      </w:r>
    </w:p>
    <w:p w:rsidR="00EB7550" w:rsidRPr="00E15331" w:rsidRDefault="00EB7550" w:rsidP="00EB7550">
      <w:pPr>
        <w:ind w:left="504" w:hanging="504"/>
        <w:jc w:val="both"/>
        <w:rPr>
          <w:strike/>
          <w:sz w:val="20"/>
          <w:highlight w:val="yellow"/>
        </w:rPr>
      </w:pPr>
      <w:r w:rsidRPr="00E15331">
        <w:rPr>
          <w:strike/>
          <w:sz w:val="20"/>
          <w:highlight w:val="yellow"/>
          <w:vertAlign w:val="superscript"/>
        </w:rPr>
        <w:t>2</w:t>
      </w:r>
      <w:r w:rsidRPr="00E15331">
        <w:rPr>
          <w:strike/>
          <w:sz w:val="20"/>
          <w:highlight w:val="yellow"/>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EB7550" w:rsidRPr="00E15331" w:rsidRDefault="00EB7550" w:rsidP="00EB7550">
      <w:pPr>
        <w:ind w:left="504" w:hanging="504"/>
        <w:jc w:val="both"/>
        <w:rPr>
          <w:strike/>
          <w:sz w:val="20"/>
          <w:highlight w:val="yellow"/>
        </w:rPr>
      </w:pPr>
    </w:p>
    <w:p w:rsidR="00EB7550" w:rsidRPr="00E15331" w:rsidRDefault="00EB7550" w:rsidP="00EB7550">
      <w:pPr>
        <w:jc w:val="both"/>
        <w:rPr>
          <w:i/>
          <w:strike/>
          <w:sz w:val="20"/>
          <w:highlight w:val="yellow"/>
        </w:rPr>
      </w:pPr>
      <w:r w:rsidRPr="00E15331">
        <w:rPr>
          <w:i/>
          <w:strike/>
          <w:sz w:val="20"/>
          <w:highlight w:val="yellow"/>
          <w:u w:val="single"/>
        </w:rPr>
        <w:t>Note</w:t>
      </w:r>
      <w:r w:rsidRPr="00E15331">
        <w:rPr>
          <w:i/>
          <w:strike/>
          <w:sz w:val="20"/>
          <w:highlight w:val="yellow"/>
        </w:rPr>
        <w:t>:  On a separate page, describe any changes since the last in CMS, process or controls.</w:t>
      </w:r>
    </w:p>
    <w:p w:rsidR="00EB7550" w:rsidRPr="00E15331" w:rsidRDefault="00EB7550" w:rsidP="00EB7550">
      <w:pPr>
        <w:jc w:val="both"/>
        <w:rPr>
          <w:strike/>
          <w:sz w:val="20"/>
          <w:highlight w:val="yellow"/>
        </w:rPr>
      </w:pPr>
    </w:p>
    <w:p w:rsidR="00EB7550" w:rsidRPr="00E15331" w:rsidRDefault="00EB7550" w:rsidP="00EB7550">
      <w:pPr>
        <w:jc w:val="both"/>
        <w:rPr>
          <w:strike/>
          <w:sz w:val="20"/>
          <w:highlight w:val="yellow"/>
        </w:rPr>
      </w:pPr>
      <w:r w:rsidRPr="00E15331">
        <w:rPr>
          <w:strike/>
          <w:sz w:val="20"/>
          <w:highlight w:val="yellow"/>
        </w:rPr>
        <w:t xml:space="preserve">I </w:t>
      </w:r>
      <w:r w:rsidRPr="00E15331">
        <w:rPr>
          <w:strike/>
          <w:sz w:val="20"/>
          <w:highlight w:val="yellow"/>
          <w:u w:val="single"/>
        </w:rPr>
        <w:t>certify</w:t>
      </w:r>
      <w:r w:rsidRPr="00E15331">
        <w:rPr>
          <w:strike/>
          <w:sz w:val="20"/>
          <w:highlight w:val="yellow"/>
        </w:rPr>
        <w:t xml:space="preserve"> that the information contained in this report is true, accurate, and complete.</w:t>
      </w:r>
    </w:p>
    <w:p w:rsidR="00EB7550" w:rsidRPr="00E15331" w:rsidRDefault="00EB7550" w:rsidP="00EB7550">
      <w:pPr>
        <w:ind w:left="1008" w:hanging="504"/>
        <w:jc w:val="both"/>
        <w:rPr>
          <w:strike/>
          <w:sz w:val="20"/>
          <w:highlight w:val="yellow"/>
        </w:rPr>
      </w:pPr>
    </w:p>
    <w:p w:rsidR="00EB7550" w:rsidRPr="00E15331" w:rsidRDefault="00EB7550" w:rsidP="00EB7550">
      <w:pPr>
        <w:ind w:left="504" w:hanging="504"/>
        <w:jc w:val="both"/>
        <w:rPr>
          <w:strike/>
          <w:sz w:val="20"/>
          <w:highlight w:val="yellow"/>
        </w:rPr>
      </w:pPr>
      <w:r w:rsidRPr="00E15331">
        <w:rPr>
          <w:i/>
          <w:strike/>
          <w:sz w:val="20"/>
          <w:highlight w:val="yellow"/>
        </w:rPr>
        <w:t>Name</w:t>
      </w:r>
      <w:r w:rsidRPr="00E15331">
        <w:rPr>
          <w:strike/>
          <w:sz w:val="20"/>
          <w:highlight w:val="yellow"/>
        </w:rPr>
        <w:t>:  _________________________________________________________</w:t>
      </w:r>
    </w:p>
    <w:p w:rsidR="00EB7550" w:rsidRPr="00E15331" w:rsidRDefault="00EB7550" w:rsidP="00EB7550">
      <w:pPr>
        <w:ind w:left="504" w:hanging="504"/>
        <w:jc w:val="both"/>
        <w:rPr>
          <w:strike/>
          <w:sz w:val="16"/>
          <w:szCs w:val="16"/>
          <w:highlight w:val="yellow"/>
        </w:rPr>
      </w:pPr>
    </w:p>
    <w:p w:rsidR="00EB7550" w:rsidRPr="00E15331" w:rsidRDefault="00EB7550" w:rsidP="00EB7550">
      <w:pPr>
        <w:ind w:left="504" w:hanging="504"/>
        <w:jc w:val="both"/>
        <w:rPr>
          <w:strike/>
          <w:sz w:val="16"/>
          <w:szCs w:val="16"/>
          <w:highlight w:val="yellow"/>
        </w:rPr>
      </w:pPr>
    </w:p>
    <w:p w:rsidR="00EB7550" w:rsidRPr="00E15331" w:rsidRDefault="00EB7550" w:rsidP="00EB7550">
      <w:pPr>
        <w:ind w:left="504" w:hanging="504"/>
        <w:jc w:val="both"/>
        <w:rPr>
          <w:strike/>
          <w:sz w:val="20"/>
          <w:highlight w:val="yellow"/>
        </w:rPr>
      </w:pPr>
      <w:r w:rsidRPr="00E15331">
        <w:rPr>
          <w:i/>
          <w:strike/>
          <w:sz w:val="20"/>
          <w:highlight w:val="yellow"/>
        </w:rPr>
        <w:t>Signature</w:t>
      </w:r>
      <w:r w:rsidRPr="00E15331">
        <w:rPr>
          <w:strike/>
          <w:sz w:val="20"/>
          <w:highlight w:val="yellow"/>
        </w:rPr>
        <w:t xml:space="preserve">:  _________________________________________________________ </w:t>
      </w:r>
      <w:r w:rsidRPr="00E15331">
        <w:rPr>
          <w:i/>
          <w:strike/>
          <w:sz w:val="20"/>
          <w:highlight w:val="yellow"/>
        </w:rPr>
        <w:t>Date</w:t>
      </w:r>
      <w:r w:rsidRPr="00E15331">
        <w:rPr>
          <w:strike/>
          <w:sz w:val="20"/>
          <w:highlight w:val="yellow"/>
        </w:rPr>
        <w:t>:  ___________________</w:t>
      </w:r>
    </w:p>
    <w:p w:rsidR="00EB7550" w:rsidRPr="00E15331" w:rsidRDefault="00EB7550" w:rsidP="00EB7550">
      <w:pPr>
        <w:ind w:left="504" w:hanging="504"/>
        <w:jc w:val="both"/>
        <w:rPr>
          <w:strike/>
          <w:sz w:val="16"/>
          <w:szCs w:val="16"/>
          <w:highlight w:val="yellow"/>
        </w:rPr>
      </w:pPr>
    </w:p>
    <w:p w:rsidR="00EB7550" w:rsidRPr="00E15331" w:rsidRDefault="00EB7550" w:rsidP="00EB7550">
      <w:pPr>
        <w:ind w:left="504" w:hanging="504"/>
        <w:jc w:val="both"/>
        <w:rPr>
          <w:strike/>
          <w:sz w:val="16"/>
          <w:szCs w:val="16"/>
          <w:highlight w:val="yellow"/>
        </w:rPr>
      </w:pPr>
    </w:p>
    <w:p w:rsidR="00EB7550" w:rsidRPr="00E15331" w:rsidRDefault="00EB7550" w:rsidP="00EB7550">
      <w:pPr>
        <w:jc w:val="both"/>
        <w:rPr>
          <w:strike/>
        </w:rPr>
      </w:pPr>
      <w:r w:rsidRPr="00E15331">
        <w:rPr>
          <w:i/>
          <w:strike/>
          <w:sz w:val="20"/>
          <w:highlight w:val="yellow"/>
        </w:rPr>
        <w:t>Title</w:t>
      </w:r>
      <w:r w:rsidRPr="00E15331">
        <w:rPr>
          <w:strike/>
          <w:sz w:val="20"/>
          <w:highlight w:val="yellow"/>
        </w:rPr>
        <w:t>:  _________________________________________________________</w:t>
      </w:r>
    </w:p>
    <w:p w:rsidR="00C445AF" w:rsidRDefault="00C445AF">
      <w:pPr>
        <w:rPr>
          <w:strike/>
        </w:rPr>
      </w:pPr>
    </w:p>
    <w:p w:rsidR="002E78A4" w:rsidRDefault="002E78A4">
      <w:pPr>
        <w:rPr>
          <w:strike/>
        </w:rPr>
        <w:sectPr w:rsidR="002E78A4" w:rsidSect="00FE64BB">
          <w:headerReference w:type="even" r:id="rId76"/>
          <w:headerReference w:type="default" r:id="rId77"/>
          <w:footerReference w:type="default" r:id="rId78"/>
          <w:headerReference w:type="first" r:id="rId79"/>
          <w:pgSz w:w="12240" w:h="15840" w:code="1"/>
          <w:pgMar w:top="1008" w:right="1008" w:bottom="1008" w:left="1008" w:header="720" w:footer="720" w:gutter="0"/>
          <w:paperSrc w:first="15" w:other="15"/>
          <w:pgNumType w:start="1"/>
          <w:cols w:space="720"/>
          <w:docGrid w:linePitch="299"/>
        </w:sectPr>
      </w:pPr>
    </w:p>
    <w:p w:rsidR="002E78A4" w:rsidRDefault="002E78A4" w:rsidP="002E78A4"/>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2E78A4" w:rsidTr="00CF3BB6">
        <w:tc>
          <w:tcPr>
            <w:tcW w:w="1350" w:type="dxa"/>
            <w:tcBorders>
              <w:top w:val="single" w:sz="12" w:space="0" w:color="auto"/>
              <w:left w:val="single" w:sz="12" w:space="0" w:color="auto"/>
              <w:bottom w:val="single" w:sz="12" w:space="0" w:color="auto"/>
              <w:right w:val="single" w:sz="12" w:space="0" w:color="auto"/>
            </w:tcBorders>
          </w:tcPr>
          <w:p w:rsidR="002E78A4" w:rsidRDefault="002E78A4" w:rsidP="00CF3BB6">
            <w:r>
              <w:t>E.U. ID No.</w:t>
            </w:r>
          </w:p>
        </w:tc>
        <w:tc>
          <w:tcPr>
            <w:tcW w:w="333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ing1"/>
              <w:rPr>
                <w:sz w:val="22"/>
              </w:rPr>
            </w:pPr>
            <w:r>
              <w:rPr>
                <w:sz w:val="22"/>
              </w:rPr>
              <w:t>Description</w:t>
            </w:r>
          </w:p>
        </w:tc>
        <w:tc>
          <w:tcPr>
            <w:tcW w:w="207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2E78A4" w:rsidRDefault="002E78A4" w:rsidP="00CF3BB6">
            <w:r>
              <w:t>Project Type</w:t>
            </w:r>
          </w:p>
        </w:tc>
      </w:tr>
      <w:tr w:rsidR="00896C28" w:rsidRPr="00DD573B" w:rsidTr="00CF3BB6">
        <w:tc>
          <w:tcPr>
            <w:tcW w:w="1350" w:type="dxa"/>
            <w:tcBorders>
              <w:top w:val="single" w:sz="12" w:space="0" w:color="auto"/>
              <w:left w:val="single" w:sz="4" w:space="0" w:color="auto"/>
              <w:bottom w:val="single" w:sz="2" w:space="0" w:color="auto"/>
              <w:right w:val="single" w:sz="4" w:space="0" w:color="auto"/>
            </w:tcBorders>
          </w:tcPr>
          <w:p w:rsidR="00896C28" w:rsidRPr="009A4F8E" w:rsidRDefault="00896C28" w:rsidP="00896C28">
            <w:r>
              <w:t>001</w:t>
            </w:r>
          </w:p>
        </w:tc>
        <w:tc>
          <w:tcPr>
            <w:tcW w:w="3330" w:type="dxa"/>
            <w:tcBorders>
              <w:top w:val="single" w:sz="12"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Collection System</w:t>
            </w:r>
            <w:r w:rsidR="00FB7481">
              <w:t xml:space="preserve"> w</w:t>
            </w:r>
            <w:r w:rsidRPr="00896C28">
              <w:t>/Flare</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0710133-001-AC</w:t>
            </w:r>
          </w:p>
        </w:tc>
        <w:tc>
          <w:tcPr>
            <w:tcW w:w="1800" w:type="dxa"/>
            <w:tcBorders>
              <w:top w:val="single" w:sz="12" w:space="0" w:color="auto"/>
              <w:left w:val="single" w:sz="4" w:space="0" w:color="auto"/>
              <w:bottom w:val="single" w:sz="4" w:space="0" w:color="auto"/>
              <w:right w:val="single" w:sz="4" w:space="0" w:color="auto"/>
            </w:tcBorders>
          </w:tcPr>
          <w:p w:rsidR="00896C28" w:rsidRPr="00FB7481" w:rsidRDefault="00FB7481" w:rsidP="00896C28">
            <w:r>
              <w:t>10/21/1996</w:t>
            </w:r>
          </w:p>
        </w:tc>
        <w:tc>
          <w:tcPr>
            <w:tcW w:w="1800" w:type="dxa"/>
            <w:tcBorders>
              <w:top w:val="single" w:sz="12" w:space="0" w:color="auto"/>
              <w:left w:val="single" w:sz="4" w:space="0" w:color="auto"/>
              <w:bottom w:val="single" w:sz="4" w:space="0" w:color="auto"/>
              <w:right w:val="single" w:sz="4" w:space="0" w:color="auto"/>
            </w:tcBorders>
          </w:tcPr>
          <w:p w:rsidR="00896C28" w:rsidRPr="00FB7481" w:rsidRDefault="009A2620" w:rsidP="00896C28">
            <w:r>
              <w:t>10/21/2001</w:t>
            </w:r>
          </w:p>
        </w:tc>
        <w:tc>
          <w:tcPr>
            <w:tcW w:w="243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sidRPr="009A4F8E">
              <w:t>Construction (</w:t>
            </w:r>
            <w:r>
              <w:t>initial</w:t>
            </w:r>
            <w:r w:rsidRPr="009A4F8E">
              <w:t>)</w:t>
            </w:r>
          </w:p>
        </w:tc>
      </w:tr>
      <w:tr w:rsidR="00896C28" w:rsidRPr="00DD573B" w:rsidTr="00504FB6">
        <w:tc>
          <w:tcPr>
            <w:tcW w:w="135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001</w:t>
            </w:r>
          </w:p>
        </w:tc>
        <w:tc>
          <w:tcPr>
            <w:tcW w:w="3330" w:type="dxa"/>
            <w:tcBorders>
              <w:top w:val="single" w:sz="4"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Collection System</w:t>
            </w:r>
            <w:r w:rsidR="00FB7481">
              <w:t xml:space="preserve"> w</w:t>
            </w:r>
            <w:r w:rsidRPr="00896C28">
              <w:t>/Flare</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0710133-002-AO</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01/24/1997</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01/24/2002</w:t>
            </w:r>
          </w:p>
        </w:tc>
        <w:tc>
          <w:tcPr>
            <w:tcW w:w="243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Operation</w:t>
            </w:r>
          </w:p>
        </w:tc>
      </w:tr>
      <w:tr w:rsidR="00896C28" w:rsidRPr="00DD573B" w:rsidTr="00504FB6">
        <w:tc>
          <w:tcPr>
            <w:tcW w:w="1350" w:type="dxa"/>
            <w:tcBorders>
              <w:top w:val="single" w:sz="4" w:space="0" w:color="auto"/>
              <w:left w:val="single" w:sz="4" w:space="0" w:color="auto"/>
              <w:bottom w:val="single" w:sz="2" w:space="0" w:color="auto"/>
              <w:right w:val="single" w:sz="4" w:space="0" w:color="auto"/>
            </w:tcBorders>
          </w:tcPr>
          <w:p w:rsidR="00896C28" w:rsidRPr="009A4F8E" w:rsidRDefault="00896C28" w:rsidP="00896C28">
            <w:r>
              <w:t>001, 002</w:t>
            </w:r>
          </w:p>
        </w:tc>
        <w:tc>
          <w:tcPr>
            <w:tcW w:w="3330" w:type="dxa"/>
            <w:tcBorders>
              <w:top w:val="single" w:sz="4"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Facility</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0710133-003-AV</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12/07/1999</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12/07/2004</w:t>
            </w:r>
          </w:p>
        </w:tc>
        <w:tc>
          <w:tcPr>
            <w:tcW w:w="243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Initial</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0710133-004-AC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07/02/2003</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07/02/2008</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0710133-005-AC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10/27/2003</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10/27/2008</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001, 003, 004</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0710133-006-AV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12/08/2004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12/08/2004</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 / Emergency Flare / Concrete Crusher</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0710133-007-AC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01/22/2004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01/22/2009</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005</w:t>
            </w:r>
          </w:p>
        </w:tc>
        <w:tc>
          <w:tcPr>
            <w:tcW w:w="3330" w:type="dxa"/>
            <w:tcBorders>
              <w:top w:val="single" w:sz="4" w:space="0" w:color="auto"/>
              <w:left w:val="single" w:sz="4" w:space="0" w:color="auto"/>
              <w:bottom w:val="single" w:sz="4" w:space="0" w:color="auto"/>
              <w:right w:val="single" w:sz="4" w:space="0" w:color="auto"/>
            </w:tcBorders>
          </w:tcPr>
          <w:p w:rsidR="00FB7481" w:rsidRPr="00DD573B" w:rsidRDefault="00FB7481" w:rsidP="00FB7481">
            <w:pPr>
              <w:pStyle w:val="Header"/>
              <w:tabs>
                <w:tab w:val="clear" w:pos="4320"/>
                <w:tab w:val="clear" w:pos="8640"/>
              </w:tabs>
              <w:rPr>
                <w:highlight w:val="yellow"/>
              </w:rPr>
            </w:pPr>
            <w:r>
              <w:t>Concrete Crusher</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0710133-008-AC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07/08/2004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07/08/2006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DD573B" w:rsidRDefault="00FB7481" w:rsidP="00FB7481">
            <w:pPr>
              <w:pStyle w:val="Header"/>
              <w:tabs>
                <w:tab w:val="clear" w:pos="4320"/>
                <w:tab w:val="clear" w:pos="8640"/>
              </w:tabs>
              <w:rPr>
                <w:highlight w:val="yellow"/>
              </w:rPr>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0710133-009-AV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03/16/2007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03/16/2012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Renewal</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 / Flare / Emergency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0710133-010-AC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02/22/2005</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02/22/2007</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0710133-011-AC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11/23/2005</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11/23/2010</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0710133-012-AC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08/17/2007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08/17/2012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0710133-013-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10/26/2007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10/26/2012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0710133-014-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06/04/2011</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06/04/2016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0710133-015-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11/08/2011</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Renewal</w:t>
            </w:r>
          </w:p>
        </w:tc>
      </w:tr>
      <w:tr w:rsidR="00FB7481" w:rsidTr="00504FB6">
        <w:tc>
          <w:tcPr>
            <w:tcW w:w="135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0710133-016- AV</w:t>
            </w:r>
          </w:p>
        </w:tc>
        <w:tc>
          <w:tcPr>
            <w:tcW w:w="1800" w:type="dxa"/>
            <w:tcBorders>
              <w:top w:val="single" w:sz="4" w:space="0" w:color="auto"/>
              <w:left w:val="single" w:sz="4" w:space="0" w:color="auto"/>
              <w:bottom w:val="single" w:sz="4" w:space="0" w:color="auto"/>
              <w:right w:val="single" w:sz="4" w:space="0" w:color="auto"/>
            </w:tcBorders>
          </w:tcPr>
          <w:p w:rsidR="00FB7481" w:rsidRPr="009A2620" w:rsidRDefault="00FB7481" w:rsidP="00FB7481">
            <w:pPr>
              <w:rPr>
                <w:highlight w:val="yellow"/>
              </w:rPr>
            </w:pPr>
            <w:r w:rsidRPr="009A2620">
              <w:rPr>
                <w:highlight w:val="yellow"/>
              </w:rPr>
              <w:t>Pending</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bl>
    <w:p w:rsidR="002E78A4" w:rsidRDefault="002E78A4" w:rsidP="002E78A4">
      <w:pPr>
        <w:rPr>
          <w:vertAlign w:val="superscript"/>
        </w:rPr>
      </w:pPr>
    </w:p>
    <w:sectPr w:rsidR="002E78A4" w:rsidSect="004F3821">
      <w:headerReference w:type="even" r:id="rId80"/>
      <w:headerReference w:type="default" r:id="rId81"/>
      <w:footerReference w:type="default" r:id="rId82"/>
      <w:headerReference w:type="first" r:id="rId83"/>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D19" w:rsidRDefault="008B2D19">
      <w:r>
        <w:separator/>
      </w:r>
    </w:p>
  </w:endnote>
  <w:endnote w:type="continuationSeparator" w:id="0">
    <w:p w:rsidR="008B2D19" w:rsidRDefault="008B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B417FD" w:rsidRDefault="000D4F56" w:rsidP="00FE64BB">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sidR="007C5B32">
      <w:rPr>
        <w:sz w:val="18"/>
        <w:szCs w:val="18"/>
      </w:rPr>
      <w:t>6</w:t>
    </w:r>
    <w:r w:rsidRPr="00B417FD">
      <w:rPr>
        <w:sz w:val="18"/>
        <w:szCs w:val="18"/>
      </w:rPr>
      <w:t>-AV</w:t>
    </w:r>
  </w:p>
  <w:p w:rsidR="000D4F56" w:rsidRPr="00751CD0" w:rsidRDefault="000D4F56" w:rsidP="00FE64BB">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sidR="007C5B32">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D504E">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E5" w:rsidRPr="00B417FD" w:rsidRDefault="006D4EE5" w:rsidP="006D4EE5">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6D4EE5" w:rsidRPr="00751CD0" w:rsidRDefault="006D4EE5" w:rsidP="006D4EE5">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Page NESHAP-AAAA-</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AD504E">
      <w:rPr>
        <w:noProof/>
        <w:sz w:val="18"/>
        <w:szCs w:val="18"/>
      </w:rPr>
      <w:t>8</w:t>
    </w:r>
    <w:r w:rsidRPr="003320E8">
      <w:rPr>
        <w:sz w:val="18"/>
        <w:szCs w:val="18"/>
      </w:rPr>
      <w:fldChar w:fldCharType="end"/>
    </w:r>
    <w:r w:rsidRPr="003320E8">
      <w:rPr>
        <w:sz w:val="18"/>
        <w:szCs w:val="18"/>
      </w:rPr>
      <w:t xml:space="preserve"> of </w:t>
    </w:r>
    <w:r w:rsidR="00AD504E">
      <w:rPr>
        <w:rStyle w:val="PageNumber"/>
        <w:sz w:val="18"/>
        <w:szCs w:val="18"/>
      </w:rPr>
      <w:t>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E5" w:rsidRPr="00B417FD" w:rsidRDefault="006D4EE5" w:rsidP="006D4EE5">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6D4EE5" w:rsidRPr="00751CD0" w:rsidRDefault="006D4EE5" w:rsidP="006D4EE5">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6D4EE5" w:rsidRDefault="000D4F56" w:rsidP="006D4EE5">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B417FD" w:rsidRDefault="000D4F56" w:rsidP="006A698A">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sidR="002E78A4">
      <w:rPr>
        <w:sz w:val="18"/>
        <w:szCs w:val="18"/>
      </w:rPr>
      <w:t>6</w:t>
    </w:r>
    <w:r w:rsidRPr="00B417FD">
      <w:rPr>
        <w:sz w:val="18"/>
        <w:szCs w:val="18"/>
      </w:rPr>
      <w:t>-AV</w:t>
    </w:r>
  </w:p>
  <w:p w:rsidR="000D4F56" w:rsidRPr="00751CD0" w:rsidRDefault="000D4F56" w:rsidP="006A698A">
    <w:pPr>
      <w:pStyle w:val="Footer"/>
      <w:tabs>
        <w:tab w:val="clear" w:pos="4320"/>
        <w:tab w:val="clear" w:pos="8640"/>
        <w:tab w:val="right" w:pos="13230"/>
      </w:tabs>
      <w:rPr>
        <w:sz w:val="20"/>
      </w:rPr>
    </w:pPr>
    <w:r>
      <w:rPr>
        <w:sz w:val="18"/>
        <w:szCs w:val="18"/>
      </w:rPr>
      <w:t xml:space="preserve">Gulf Coast Sanitary Landfill                                                                                                                       </w:t>
    </w:r>
    <w:r w:rsidRPr="00B417FD">
      <w:rPr>
        <w:sz w:val="18"/>
        <w:szCs w:val="18"/>
      </w:rPr>
      <w:t xml:space="preserve">Title V </w:t>
    </w:r>
    <w:r>
      <w:rPr>
        <w:sz w:val="18"/>
        <w:szCs w:val="18"/>
      </w:rPr>
      <w:t xml:space="preserve">Air Operation </w:t>
    </w:r>
    <w:r w:rsidRPr="00B417FD">
      <w:rPr>
        <w:sz w:val="18"/>
        <w:szCs w:val="18"/>
      </w:rPr>
      <w:t xml:space="preserve">Permit </w:t>
    </w:r>
    <w:r w:rsidR="002E78A4">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 xml:space="preserve">Table </w:t>
    </w:r>
    <w:r w:rsidR="002E78A4">
      <w:rPr>
        <w:sz w:val="20"/>
      </w:rPr>
      <w:t>1</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D504E">
      <w:rPr>
        <w:rStyle w:val="PageNumber"/>
        <w:noProof/>
        <w:sz w:val="20"/>
      </w:rPr>
      <w:t>1</w:t>
    </w:r>
    <w:r w:rsidRPr="005F4DB6">
      <w:rPr>
        <w:rStyle w:val="PageNumber"/>
        <w:sz w:val="20"/>
      </w:rPr>
      <w:fldChar w:fldCharType="end"/>
    </w:r>
    <w:r w:rsidRPr="005F4DB6">
      <w:rPr>
        <w:rStyle w:val="PageNumber"/>
        <w:sz w:val="20"/>
      </w:rPr>
      <w:t xml:space="preserve"> of </w:t>
    </w:r>
    <w:r w:rsidRPr="00FB1195">
      <w:rPr>
        <w:rStyle w:val="PageNumber"/>
        <w:sz w:val="20"/>
      </w:rPr>
      <w:t>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BB6" w:rsidRPr="00751CD0" w:rsidRDefault="002E78A4" w:rsidP="002E78A4">
    <w:pPr>
      <w:pStyle w:val="Footer"/>
      <w:pBdr>
        <w:top w:val="single" w:sz="6" w:space="1" w:color="auto"/>
      </w:pBdr>
      <w:tabs>
        <w:tab w:val="clear" w:pos="4320"/>
        <w:tab w:val="clear" w:pos="8640"/>
        <w:tab w:val="right" w:pos="12780"/>
      </w:tabs>
      <w:spacing w:before="240"/>
      <w:rPr>
        <w:sz w:val="20"/>
      </w:rPr>
    </w:pPr>
    <w:r w:rsidRPr="00B417FD">
      <w:rPr>
        <w:sz w:val="18"/>
        <w:szCs w:val="18"/>
      </w:rPr>
      <w:t>Waste Management Inc. of Florida</w:t>
    </w:r>
    <w:r w:rsidR="00CF3BB6" w:rsidRPr="00751CD0">
      <w:rPr>
        <w:sz w:val="20"/>
      </w:rPr>
      <w:tab/>
    </w:r>
    <w:r w:rsidR="00CF3BB6">
      <w:rPr>
        <w:sz w:val="20"/>
      </w:rPr>
      <w:t>Permit</w:t>
    </w:r>
    <w:r w:rsidR="00CF3BB6" w:rsidRPr="00751CD0">
      <w:rPr>
        <w:sz w:val="20"/>
      </w:rPr>
      <w:t xml:space="preserve"> No. </w:t>
    </w:r>
    <w:r>
      <w:rPr>
        <w:sz w:val="20"/>
      </w:rPr>
      <w:t>0710133-016</w:t>
    </w:r>
    <w:r w:rsidR="00CF3BB6" w:rsidRPr="00751CD0">
      <w:rPr>
        <w:sz w:val="20"/>
      </w:rPr>
      <w:t>-A</w:t>
    </w:r>
    <w:r w:rsidR="00CF3BB6">
      <w:rPr>
        <w:sz w:val="20"/>
      </w:rPr>
      <w:t>V</w:t>
    </w:r>
  </w:p>
  <w:p w:rsidR="00CF3BB6" w:rsidRPr="00751CD0" w:rsidRDefault="002E78A4" w:rsidP="002E78A4">
    <w:pPr>
      <w:pStyle w:val="Footer"/>
      <w:tabs>
        <w:tab w:val="clear" w:pos="4320"/>
        <w:tab w:val="clear" w:pos="8640"/>
        <w:tab w:val="right" w:pos="12780"/>
      </w:tabs>
      <w:rPr>
        <w:sz w:val="20"/>
      </w:rPr>
    </w:pPr>
    <w:r>
      <w:rPr>
        <w:sz w:val="18"/>
        <w:szCs w:val="18"/>
      </w:rPr>
      <w:t>Gulf Coast Sanitary Landfill</w:t>
    </w:r>
    <w:r w:rsidR="00CF3BB6" w:rsidRPr="003B6A30">
      <w:rPr>
        <w:sz w:val="20"/>
      </w:rPr>
      <w:tab/>
    </w:r>
    <w:r w:rsidRPr="00B417FD">
      <w:rPr>
        <w:sz w:val="18"/>
        <w:szCs w:val="18"/>
      </w:rPr>
      <w:t xml:space="preserve">Title V </w:t>
    </w:r>
    <w:r>
      <w:rPr>
        <w:sz w:val="18"/>
        <w:szCs w:val="18"/>
      </w:rPr>
      <w:t xml:space="preserve">Air Operation </w:t>
    </w:r>
    <w:r w:rsidRPr="00B417FD">
      <w:rPr>
        <w:sz w:val="18"/>
        <w:szCs w:val="18"/>
      </w:rPr>
      <w:t xml:space="preserve">Permit </w:t>
    </w:r>
    <w:r>
      <w:rPr>
        <w:sz w:val="18"/>
        <w:szCs w:val="18"/>
      </w:rPr>
      <w:t>Revision</w:t>
    </w:r>
  </w:p>
  <w:p w:rsidR="00CF3BB6" w:rsidRPr="009065A6" w:rsidRDefault="00CF3BB6">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D504E">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Pr>
        <w:rStyle w:val="PageNumber"/>
        <w:sz w:val="20"/>
      </w:rPr>
      <w:t>1</w:t>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6A698A" w:rsidRDefault="000D4F56" w:rsidP="0065658A">
    <w:pPr>
      <w:pStyle w:val="Footer"/>
      <w:tabs>
        <w:tab w:val="clear" w:pos="4320"/>
        <w:tab w:val="clear" w:pos="8640"/>
      </w:tabs>
      <w:jc w:val="center"/>
      <w:rPr>
        <w:sz w:val="18"/>
        <w:szCs w:val="18"/>
      </w:rPr>
    </w:pPr>
    <w:r w:rsidRPr="006A698A">
      <w:rPr>
        <w:sz w:val="18"/>
        <w:szCs w:val="18"/>
      </w:rPr>
      <w:t>Page RR-</w:t>
    </w:r>
    <w:r w:rsidRPr="006A698A">
      <w:rPr>
        <w:sz w:val="18"/>
        <w:szCs w:val="18"/>
      </w:rPr>
      <w:fldChar w:fldCharType="begin"/>
    </w:r>
    <w:r w:rsidRPr="006A698A">
      <w:rPr>
        <w:sz w:val="18"/>
        <w:szCs w:val="18"/>
      </w:rPr>
      <w:instrText xml:space="preserve"> PAGE  \* MERGEFORMAT </w:instrText>
    </w:r>
    <w:r w:rsidRPr="006A698A">
      <w:rPr>
        <w:sz w:val="18"/>
        <w:szCs w:val="18"/>
      </w:rPr>
      <w:fldChar w:fldCharType="separate"/>
    </w:r>
    <w:r w:rsidR="00AD504E">
      <w:rPr>
        <w:noProof/>
        <w:sz w:val="18"/>
        <w:szCs w:val="18"/>
      </w:rPr>
      <w:t>4</w:t>
    </w:r>
    <w:r w:rsidRPr="006A698A">
      <w:rPr>
        <w:sz w:val="18"/>
        <w:szCs w:val="18"/>
      </w:rPr>
      <w:fldChar w:fldCharType="end"/>
    </w:r>
    <w:r w:rsidRPr="006A698A">
      <w:rPr>
        <w:sz w:val="18"/>
        <w:szCs w:val="18"/>
      </w:rPr>
      <w:t xml:space="preserve"> of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D504E">
      <w:rPr>
        <w:noProof/>
        <w:sz w:val="20"/>
      </w:rPr>
      <w:t>4</w:t>
    </w:r>
    <w:r w:rsidRPr="009065A6">
      <w:rPr>
        <w:sz w:val="20"/>
      </w:rPr>
      <w:fldChar w:fldCharType="end"/>
    </w:r>
    <w:r>
      <w:rPr>
        <w:sz w:val="20"/>
      </w:rPr>
      <w:t xml:space="preserve"> of 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D504E">
      <w:rPr>
        <w:noProof/>
        <w:sz w:val="20"/>
      </w:rPr>
      <w:t>7</w:t>
    </w:r>
    <w:r w:rsidRPr="009065A6">
      <w:rPr>
        <w:sz w:val="20"/>
      </w:rPr>
      <w:fldChar w:fldCharType="end"/>
    </w:r>
    <w:r>
      <w:rPr>
        <w:sz w:val="20"/>
      </w:rPr>
      <w:t xml:space="preserve"> of</w:t>
    </w:r>
    <w:r w:rsidRPr="00982E6C">
      <w:rPr>
        <w:sz w:val="20"/>
      </w:rPr>
      <w:t xml:space="preserve"> </w:t>
    </w:r>
    <w:r w:rsidR="0000182A">
      <w:rPr>
        <w:rStyle w:val="PageNumber"/>
        <w:sz w:val="20"/>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Page NSPS-A-</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AD504E">
      <w:rPr>
        <w:noProof/>
        <w:sz w:val="18"/>
        <w:szCs w:val="18"/>
      </w:rPr>
      <w:t>30</w:t>
    </w:r>
    <w:r w:rsidRPr="003320E8">
      <w:rPr>
        <w:sz w:val="18"/>
        <w:szCs w:val="18"/>
      </w:rPr>
      <w:fldChar w:fldCharType="end"/>
    </w:r>
    <w:r w:rsidRPr="003320E8">
      <w:rPr>
        <w:sz w:val="18"/>
        <w:szCs w:val="18"/>
      </w:rPr>
      <w:t xml:space="preserve"> of </w:t>
    </w:r>
    <w:r w:rsidR="00AD504E">
      <w:rPr>
        <w:rStyle w:val="PageNumber"/>
        <w:sz w:val="18"/>
        <w:szCs w:val="18"/>
      </w:rPr>
      <w:t>30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Page NSPS-WWW-</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AD504E">
      <w:rPr>
        <w:noProof/>
        <w:sz w:val="18"/>
        <w:szCs w:val="18"/>
      </w:rPr>
      <w:t>21</w:t>
    </w:r>
    <w:r w:rsidRPr="003320E8">
      <w:rPr>
        <w:sz w:val="18"/>
        <w:szCs w:val="18"/>
      </w:rPr>
      <w:fldChar w:fldCharType="end"/>
    </w:r>
    <w:r w:rsidRPr="003320E8">
      <w:rPr>
        <w:sz w:val="18"/>
        <w:szCs w:val="18"/>
      </w:rPr>
      <w:t xml:space="preserve"> of </w:t>
    </w:r>
    <w:r w:rsidR="00AD504E">
      <w:rPr>
        <w:rStyle w:val="PageNumber"/>
        <w:sz w:val="18"/>
        <w:szCs w:val="18"/>
      </w:rPr>
      <w:t>21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 xml:space="preserve">Page NESHAP-M- </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AD504E">
      <w:rPr>
        <w:noProof/>
        <w:sz w:val="18"/>
        <w:szCs w:val="18"/>
      </w:rPr>
      <w:t>37</w:t>
    </w:r>
    <w:r w:rsidRPr="003320E8">
      <w:rPr>
        <w:sz w:val="18"/>
        <w:szCs w:val="18"/>
      </w:rPr>
      <w:fldChar w:fldCharType="end"/>
    </w:r>
    <w:r w:rsidRPr="003320E8">
      <w:rPr>
        <w:sz w:val="18"/>
        <w:szCs w:val="18"/>
      </w:rPr>
      <w:t xml:space="preserve"> of </w:t>
    </w:r>
    <w:r w:rsidR="00AD504E">
      <w:rPr>
        <w:rStyle w:val="PageNumber"/>
        <w:sz w:val="18"/>
        <w:szCs w:val="18"/>
      </w:rPr>
      <w:t>37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Page NESHAP-A-</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AD504E">
      <w:rPr>
        <w:noProof/>
        <w:sz w:val="18"/>
        <w:szCs w:val="18"/>
      </w:rPr>
      <w:t>72</w:t>
    </w:r>
    <w:r w:rsidRPr="003320E8">
      <w:rPr>
        <w:sz w:val="18"/>
        <w:szCs w:val="18"/>
      </w:rPr>
      <w:fldChar w:fldCharType="end"/>
    </w:r>
    <w:r w:rsidRPr="003320E8">
      <w:rPr>
        <w:sz w:val="18"/>
        <w:szCs w:val="18"/>
      </w:rPr>
      <w:t xml:space="preserve"> of </w:t>
    </w:r>
    <w:r w:rsidR="00AD504E">
      <w:rPr>
        <w:rStyle w:val="PageNumber"/>
        <w:sz w:val="18"/>
        <w:szCs w:val="18"/>
      </w:rPr>
      <w:t>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D19" w:rsidRDefault="008B2D19">
      <w:r>
        <w:separator/>
      </w:r>
    </w:p>
  </w:footnote>
  <w:footnote w:type="continuationSeparator" w:id="0">
    <w:p w:rsidR="008B2D19" w:rsidRDefault="008B2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2" o:spid="_x0000_s2053" type="#_x0000_t136" style="position:absolute;margin-left:0;margin-top:0;width:630.6pt;height:90.05pt;rotation:315;z-index:-2516536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1" o:spid="_x0000_s2062" type="#_x0000_t136" style="position:absolute;margin-left:0;margin-top:0;width:630.6pt;height:90.05pt;rotation:315;z-index:-25163520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6333C0"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2" o:spid="_x0000_s2063" type="#_x0000_t136" style="position:absolute;left:0;text-align:left;margin-left:0;margin-top:0;width:630.6pt;height:90.05pt;rotation:315;z-index:-25163315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Pr>
        <w:b/>
        <w:caps/>
        <w:sz w:val="20"/>
      </w:rPr>
      <w:t>APPENDIX TR</w:t>
    </w:r>
  </w:p>
  <w:p w:rsidR="000D4F56" w:rsidRDefault="000D4F56"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0D4F56" w:rsidRDefault="000D4F56" w:rsidP="00B52591">
    <w:pPr>
      <w:tabs>
        <w:tab w:val="left" w:pos="720"/>
      </w:tabs>
      <w:ind w:left="540" w:hanging="540"/>
      <w:jc w:val="center"/>
      <w:rPr>
        <w:sz w:val="20"/>
      </w:rPr>
    </w:pPr>
    <w:r w:rsidRPr="00AE7F8C">
      <w:rPr>
        <w:sz w:val="20"/>
      </w:rPr>
      <w:t xml:space="preserve">(Version Dated </w:t>
    </w:r>
    <w:r w:rsidR="008E6CB8">
      <w:rPr>
        <w:sz w:val="20"/>
      </w:rPr>
      <w:t>0</w:t>
    </w:r>
    <w:r w:rsidRPr="00AE7F8C">
      <w:rPr>
        <w:sz w:val="20"/>
      </w:rPr>
      <w:t>9/12/2008)</w:t>
    </w:r>
  </w:p>
  <w:p w:rsidR="000D4F56" w:rsidRPr="00322CB9" w:rsidRDefault="000D4F56" w:rsidP="00B52591">
    <w:pPr>
      <w:tabs>
        <w:tab w:val="left" w:pos="720"/>
      </w:tabs>
      <w:ind w:left="540" w:hanging="540"/>
      <w:jc w:val="center"/>
      <w:rPr>
        <w:b/>
        <w:bCs/>
        <w:caps/>
        <w:smallCap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0" o:spid="_x0000_s2061" type="#_x0000_t136" style="position:absolute;margin-left:0;margin-top:0;width:630.6pt;height:90.05pt;rotation:315;z-index:-25163724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4" o:spid="_x0000_s2065" type="#_x0000_t136" style="position:absolute;margin-left:0;margin-top:0;width:630.6pt;height:90.05pt;rotation:315;z-index:-25162905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8E6CB8" w:rsidRDefault="006333C0">
    <w:pPr>
      <w:pStyle w:val="Header"/>
      <w:pBdr>
        <w:bottom w:val="single" w:sz="4" w:space="1" w:color="auto"/>
      </w:pBdr>
      <w:tabs>
        <w:tab w:val="clear" w:pos="8640"/>
      </w:tabs>
      <w:jc w:val="center"/>
      <w:rPr>
        <w:b/>
        <w:caps/>
        <w:sz w:val="20"/>
        <w:highlight w:val="yellow"/>
        <w:u w:val="doub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5" o:spid="_x0000_s2066" type="#_x0000_t136" style="position:absolute;left:0;text-align:left;margin-left:0;margin-top:0;width:630.6pt;height:90.05pt;rotation:315;z-index:-25162700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8E6CB8">
      <w:rPr>
        <w:b/>
        <w:caps/>
        <w:sz w:val="20"/>
        <w:highlight w:val="yellow"/>
        <w:u w:val="double"/>
      </w:rPr>
      <w:t>APPENDIX TV</w:t>
    </w:r>
  </w:p>
  <w:p w:rsidR="000D4F56" w:rsidRPr="008E6CB8" w:rsidRDefault="000D4F56" w:rsidP="00562877">
    <w:pPr>
      <w:tabs>
        <w:tab w:val="left" w:pos="360"/>
        <w:tab w:val="left" w:pos="720"/>
        <w:tab w:val="left" w:pos="1080"/>
        <w:tab w:val="left" w:pos="1440"/>
        <w:tab w:val="left" w:pos="1800"/>
        <w:tab w:val="left" w:pos="2160"/>
      </w:tabs>
      <w:spacing w:line="-240" w:lineRule="auto"/>
      <w:jc w:val="center"/>
      <w:rPr>
        <w:b/>
        <w:caps/>
        <w:sz w:val="20"/>
        <w:highlight w:val="yellow"/>
        <w:u w:val="double"/>
      </w:rPr>
    </w:pPr>
    <w:r w:rsidRPr="008E6CB8">
      <w:rPr>
        <w:b/>
        <w:caps/>
        <w:sz w:val="20"/>
        <w:highlight w:val="yellow"/>
        <w:u w:val="double"/>
      </w:rPr>
      <w:t>Title V General Conditions</w:t>
    </w:r>
  </w:p>
  <w:p w:rsidR="000D4F56" w:rsidRPr="008E6CB8" w:rsidRDefault="000D4F56" w:rsidP="0001387B">
    <w:pPr>
      <w:tabs>
        <w:tab w:val="left" w:pos="720"/>
      </w:tabs>
      <w:ind w:left="540" w:hanging="540"/>
      <w:jc w:val="center"/>
      <w:rPr>
        <w:sz w:val="20"/>
        <w:u w:val="double"/>
      </w:rPr>
    </w:pPr>
    <w:r w:rsidRPr="008E6CB8">
      <w:rPr>
        <w:sz w:val="20"/>
        <w:highlight w:val="yellow"/>
        <w:u w:val="double"/>
      </w:rPr>
      <w:t xml:space="preserve">(Version Dated </w:t>
    </w:r>
    <w:r w:rsidR="0000182A" w:rsidRPr="008E6CB8">
      <w:rPr>
        <w:sz w:val="20"/>
        <w:highlight w:val="yellow"/>
        <w:u w:val="double"/>
      </w:rPr>
      <w:t>02</w:t>
    </w:r>
    <w:r w:rsidRPr="008E6CB8">
      <w:rPr>
        <w:sz w:val="20"/>
        <w:highlight w:val="yellow"/>
        <w:u w:val="double"/>
      </w:rPr>
      <w:t>/</w:t>
    </w:r>
    <w:r w:rsidR="0000182A" w:rsidRPr="008E6CB8">
      <w:rPr>
        <w:sz w:val="20"/>
        <w:highlight w:val="yellow"/>
        <w:u w:val="double"/>
      </w:rPr>
      <w:t>16</w:t>
    </w:r>
    <w:r w:rsidRPr="008E6CB8">
      <w:rPr>
        <w:sz w:val="20"/>
        <w:highlight w:val="yellow"/>
        <w:u w:val="double"/>
      </w:rPr>
      <w:t>/201</w:t>
    </w:r>
    <w:r w:rsidR="0000182A" w:rsidRPr="008E6CB8">
      <w:rPr>
        <w:sz w:val="20"/>
        <w:highlight w:val="yellow"/>
        <w:u w:val="double"/>
      </w:rPr>
      <w:t>2</w:t>
    </w:r>
    <w:r w:rsidRPr="008E6CB8">
      <w:rPr>
        <w:sz w:val="20"/>
        <w:highlight w:val="yellow"/>
        <w:u w:val="double"/>
      </w:rPr>
      <w:t>)</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3" o:spid="_x0000_s2064" type="#_x0000_t136" style="position:absolute;margin-left:0;margin-top:0;width:630.6pt;height:90.05pt;rotation:315;z-index:-2516311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7" o:spid="_x0000_s2068" type="#_x0000_t136" style="position:absolute;margin-left:0;margin-top:0;width:630.6pt;height:90.05pt;rotation:315;z-index:-25162291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3B690C" w:rsidRDefault="006333C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8" o:spid="_x0000_s2069" type="#_x0000_t136" style="position:absolute;left:0;text-align:left;margin-left:0;margin-top:0;width:630.6pt;height:90.05pt;rotation:315;z-index:-25162086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3B690C">
      <w:rPr>
        <w:b/>
        <w:caps/>
        <w:sz w:val="20"/>
      </w:rPr>
      <w:t>Appendix NSPS, Subpart A</w:t>
    </w:r>
  </w:p>
  <w:p w:rsidR="000D4F56" w:rsidRPr="003B690C" w:rsidRDefault="000D4F56" w:rsidP="00562877">
    <w:pPr>
      <w:tabs>
        <w:tab w:val="left" w:pos="360"/>
        <w:tab w:val="left" w:pos="720"/>
        <w:tab w:val="left" w:pos="1080"/>
        <w:tab w:val="left" w:pos="1440"/>
        <w:tab w:val="left" w:pos="1800"/>
        <w:tab w:val="left" w:pos="2160"/>
      </w:tabs>
      <w:spacing w:line="-240" w:lineRule="auto"/>
      <w:jc w:val="center"/>
      <w:rPr>
        <w:b/>
        <w:caps/>
        <w:sz w:val="20"/>
      </w:rPr>
    </w:pPr>
    <w:r w:rsidRPr="003B690C">
      <w:rPr>
        <w:b/>
        <w:caps/>
        <w:sz w:val="20"/>
      </w:rPr>
      <w:t>General Provisions</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6" o:spid="_x0000_s2067" type="#_x0000_t136" style="position:absolute;margin-left:0;margin-top:0;width:630.6pt;height:90.05pt;rotation:315;z-index:-25162496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0" o:spid="_x0000_s2071" type="#_x0000_t136" style="position:absolute;margin-left:0;margin-top:0;width:630.6pt;height:90.05pt;rotation:315;z-index:-2516167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6333C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3" o:spid="_x0000_s2054" type="#_x0000_t136" style="position:absolute;left:0;text-align:left;margin-left:0;margin-top:0;width:630.6pt;height:90.05pt;rotation:315;z-index:-25165158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Pr>
        <w:b/>
        <w:caps/>
        <w:sz w:val="20"/>
      </w:rPr>
      <w:t>APPENDIX a</w:t>
    </w:r>
  </w:p>
  <w:p w:rsidR="000D4F56" w:rsidRDefault="000D4F56"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0D4F56" w:rsidRDefault="000D4F56"/>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3B690C" w:rsidRDefault="006333C0">
    <w:pPr>
      <w:pStyle w:val="Header"/>
      <w:pBdr>
        <w:bottom w:val="single" w:sz="4" w:space="1" w:color="auto"/>
      </w:pBdr>
      <w:tabs>
        <w:tab w:val="clear" w:pos="8640"/>
      </w:tabs>
      <w:jc w:val="center"/>
      <w:rPr>
        <w:rFonts w:ascii="Times New Roman Bold" w:hAnsi="Times New Roman Bold"/>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1" o:spid="_x0000_s2072" type="#_x0000_t136" style="position:absolute;left:0;text-align:left;margin-left:0;margin-top:0;width:630.6pt;height:90.05pt;rotation:315;z-index:-2516147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3B690C">
      <w:rPr>
        <w:rFonts w:ascii="Times New Roman Bold" w:hAnsi="Times New Roman Bold"/>
        <w:b/>
        <w:caps/>
        <w:sz w:val="20"/>
      </w:rPr>
      <w:t>Appendix NSPS, Subpart WWW</w:t>
    </w:r>
  </w:p>
  <w:p w:rsidR="000D4F56" w:rsidRPr="003B690C" w:rsidRDefault="000D4F56"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3B690C">
      <w:rPr>
        <w:rFonts w:ascii="Times New Roman Bold" w:hAnsi="Times New Roman Bold"/>
        <w:b/>
        <w:caps/>
        <w:sz w:val="20"/>
      </w:rPr>
      <w:t xml:space="preserve">Standards of Performance for Municipal Solid Waste Landfills </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29" o:spid="_x0000_s2070" type="#_x0000_t136" style="position:absolute;margin-left:0;margin-top:0;width:630.6pt;height:90.05pt;rotation:315;z-index:-2516188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3" o:spid="_x0000_s2074" type="#_x0000_t136" style="position:absolute;margin-left:0;margin-top:0;width:630.6pt;height:90.05pt;rotation:315;z-index:-2516106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3A6D9C" w:rsidRDefault="006333C0"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4" o:spid="_x0000_s2075" type="#_x0000_t136" style="position:absolute;left:0;text-align:left;margin-left:0;margin-top:0;width:630.6pt;height:90.05pt;rotation:315;z-index:-2516085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18A9">
      <w:rPr>
        <w:rFonts w:ascii="Times New Roman Bold" w:hAnsi="Times New Roman Bold"/>
        <w:b/>
        <w:caps/>
        <w:noProof/>
        <w:sz w:val="20"/>
      </w:rPr>
      <mc:AlternateContent>
        <mc:Choice Requires="wps">
          <w:drawing>
            <wp:anchor distT="0" distB="0" distL="114300" distR="114300" simplePos="0" relativeHeight="251656704" behindDoc="0" locked="0" layoutInCell="1" allowOverlap="1">
              <wp:simplePos x="0" y="0"/>
              <wp:positionH relativeFrom="column">
                <wp:posOffset>121920</wp:posOffset>
              </wp:positionH>
              <wp:positionV relativeFrom="paragraph">
                <wp:posOffset>142875</wp:posOffset>
              </wp:positionV>
              <wp:extent cx="6419850" cy="19050"/>
              <wp:effectExtent l="0" t="0" r="0"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985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815801" id="_x0000_t32" coordsize="21600,21600" o:spt="32" o:oned="t" path="m,l21600,21600e" filled="f">
              <v:path arrowok="t" fillok="f" o:connecttype="none"/>
              <o:lock v:ext="edit" shapetype="t"/>
            </v:shapetype>
            <v:shape id="AutoShape 1" o:spid="_x0000_s1026" type="#_x0000_t32" style="position:absolute;margin-left:9.6pt;margin-top:11.25pt;width:505.5pt;height: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sRCIgIAAD8EAAAOAAAAZHJzL2Uyb0RvYy54bWysU8GO2yAQvVfqPyDuie2skyZWnNXKTnrZ&#10;diPt9gMIYBvVBgQkTlT13ztgJ23aS1XVBzzAzJs3M4/147lr0YkbK5TMcTKNMeKSKiZkneMvb7vJ&#10;EiPriGSkVZLn+MItfty8f7fudcZnqlEt4wYBiLRZr3PcOKezKLK04R2xU6W5hMtKmY442Jo6Yob0&#10;gN610SyOF1GvDNNGUW4tnJbDJd4E/Kri1L1UleUOtTkGbi6sJqwHv0abNclqQ3Qj6EiD/AOLjggJ&#10;SW9QJXEEHY34A6oT1CirKjelqotUVQnKQw1QTRL/Vs1rQzQPtUBzrL61yf4/WPr5tDdIsBw/YCRJ&#10;ByN6OjoVMqPEt6fXNgOvQu6NL5Ce5at+VvSrRVIVDZE1D85vFw2xISK6C/EbqyHJof+kGPgQwA+9&#10;Olem85DQBXQOI7ncRsLPDlE4XKTJajmHyVG4S1YxmMApItk1WBvrPnLVIW/k2DpDRN24QkkJw1cm&#10;CanI6dm6IfAa4DNLtRNtGzTQStTneDWfzUOAVa1g/tK7WVMfitagE/EqCt/I4s7NqKNkAazhhG1H&#10;2xHRDjawbqXHg+KAzmgNMvm2ilfb5XaZTtLZYjtJ47KcPO2KdLLYJR/m5UNZFGXy3VNL0qwRjHHp&#10;2V0lm6R/J4nx8Qxiu4n21oboHj00Gshe/4F0mK4f6CCNg2KXvfGt9YMGlQbn8UX5Z/DrPnj9fPeb&#10;HwAAAP//AwBQSwMEFAAGAAgAAAAhANepgpXcAAAACQEAAA8AAABkcnMvZG93bnJldi54bWxMjz1P&#10;wzAQhnck/oN1SCyI2jUKommcqkJiYKStxOrG1yQQn6PYaUJ/PdcJxvdD7z1XbGbfiTMOsQ1kYLlQ&#10;IJCq4FqqDRz2b48vIGKy5GwXCA38YIRNeXtT2NyFiT7wvEu14BGKuTXQpNTnUsaqQW/jIvRInJ3C&#10;4G1iOdTSDXbicd9JrdSz9LYlvtDYHl8brL53ozeAccyWarvy9eH9Mj186svX1O+Nub+bt2sQCef0&#10;V4YrPqNDyUzHMJKLomO90tw0oHUG4pqrJ8XOkZ0sA1kW8v8H5S8AAAD//wMAUEsBAi0AFAAGAAgA&#10;AAAhALaDOJL+AAAA4QEAABMAAAAAAAAAAAAAAAAAAAAAAFtDb250ZW50X1R5cGVzXS54bWxQSwEC&#10;LQAUAAYACAAAACEAOP0h/9YAAACUAQAACwAAAAAAAAAAAAAAAAAvAQAAX3JlbHMvLnJlbHNQSwEC&#10;LQAUAAYACAAAACEANdLEQiICAAA/BAAADgAAAAAAAAAAAAAAAAAuAgAAZHJzL2Uyb0RvYy54bWxQ&#10;SwECLQAUAAYACAAAACEA16mCldwAAAAJAQAADwAAAAAAAAAAAAAAAAB8BAAAZHJzL2Rvd25yZXYu&#10;eG1sUEsFBgAAAAAEAAQA8wAAAIUFAAAAAA==&#10;"/>
          </w:pict>
        </mc:Fallback>
      </mc:AlternateContent>
    </w:r>
    <w:r w:rsidR="000D4F56">
      <w:rPr>
        <w:rFonts w:ascii="Times New Roman Bold" w:hAnsi="Times New Roman Bold"/>
        <w:b/>
        <w:caps/>
        <w:sz w:val="20"/>
      </w:rPr>
      <w:t>APPENDIX NESHAP</w:t>
    </w:r>
    <w:r w:rsidR="000D4F56" w:rsidRPr="003A6D9C">
      <w:rPr>
        <w:rFonts w:ascii="Times New Roman Bold" w:hAnsi="Times New Roman Bold"/>
        <w:b/>
        <w:caps/>
        <w:sz w:val="20"/>
      </w:rPr>
      <w:t>, Subpart M</w:t>
    </w:r>
  </w:p>
  <w:p w:rsidR="000D4F56" w:rsidRPr="003A6D9C" w:rsidRDefault="000D4F56"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3A6D9C">
      <w:rPr>
        <w:rFonts w:ascii="Times New Roman Bold" w:hAnsi="Times New Roman Bold"/>
        <w:b/>
        <w:caps/>
        <w:sz w:val="20"/>
      </w:rPr>
      <w:t>National Emissions Standard for Asbestos</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2" o:spid="_x0000_s2073" type="#_x0000_t136" style="position:absolute;margin-left:0;margin-top:0;width:630.6pt;height:90.05pt;rotation:315;z-index:-2516126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6" o:spid="_x0000_s2077" type="#_x0000_t136" style="position:absolute;margin-left:0;margin-top:0;width:630.6pt;height:90.05pt;rotation:315;z-index:-2516044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F23243" w:rsidRDefault="006333C0"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7" o:spid="_x0000_s2078" type="#_x0000_t136" style="position:absolute;left:0;text-align:left;margin-left:0;margin-top:0;width:630.6pt;height:90.05pt;rotation:315;z-index:-25160243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F23243">
      <w:rPr>
        <w:rFonts w:ascii="Times New Roman Bold" w:hAnsi="Times New Roman Bold"/>
        <w:b/>
        <w:caps/>
        <w:sz w:val="20"/>
      </w:rPr>
      <w:t>Appendix NESHAP, Subpart A</w:t>
    </w:r>
  </w:p>
  <w:p w:rsidR="000D4F56" w:rsidRPr="00F23243" w:rsidRDefault="00C718A9"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rFonts w:ascii="Times New Roman Bold" w:hAnsi="Times New Roman Bold"/>
        <w:b/>
        <w:caps/>
        <w:noProof/>
        <w:sz w:val="20"/>
      </w:rPr>
      <mc:AlternateContent>
        <mc:Choice Requires="wps">
          <w:drawing>
            <wp:anchor distT="0" distB="0" distL="114300" distR="114300" simplePos="0" relativeHeight="251657728" behindDoc="0" locked="0" layoutInCell="1" allowOverlap="1">
              <wp:simplePos x="0" y="0"/>
              <wp:positionH relativeFrom="column">
                <wp:posOffset>-59055</wp:posOffset>
              </wp:positionH>
              <wp:positionV relativeFrom="paragraph">
                <wp:posOffset>0</wp:posOffset>
              </wp:positionV>
              <wp:extent cx="6543675"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F1C090" id="_x0000_t32" coordsize="21600,21600" o:spt="32" o:oned="t" path="m,l21600,21600e" filled="f">
              <v:path arrowok="t" fillok="f" o:connecttype="none"/>
              <o:lock v:ext="edit" shapetype="t"/>
            </v:shapetype>
            <v:shape id="AutoShape 2" o:spid="_x0000_s1026" type="#_x0000_t32" style="position:absolute;margin-left:-4.65pt;margin-top:0;width:515.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UeHgIAADs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9SXZ9A2B6tS7oxPkJ7kq35R9LtFUpUtkQ0Pxm9nDb6J94jeufiL1RBkP3xWDGwI4Ida&#10;nWrTe0ioAjqFlpxvLeEnhyg8zmfZw/xxhhEddRHJR0dtrPvEVY+8UGDrDBFN60olJTRemSSEIccX&#10;6zwtko8OPqpUW9F1of+dREOBl7N0Fhys6gTzSm9mTbMvO4OOxE9Q+EKOoLk3M+ogWQBrOWGbq+yI&#10;6C4yBO+kx4PEgM5VuozIj2W83Cw2i2ySpfPNJIuravK8LbPJfJs8zqqHqiyr5KenlmR5Kxjj0rMb&#10;xzXJ/m4crotzGbTbwN7KEL1HD/UCsuM/kA6d9c28jMVesfPOjB2HCQ3G123yK3B/B/l+59e/AAAA&#10;//8DAFBLAwQUAAYACAAAACEAwhmlTtoAAAAFAQAADwAAAGRycy9kb3ducmV2LnhtbEyPwU7DMBBE&#10;70j9B2srcUGtnSAQDXGqqhIHjrSVuLrxkoTG6yh2mtCvZ3OC42hGM2/y7eRaccU+NJ40JGsFAqn0&#10;tqFKw+n4tnoBEaIha1pPqOEHA2yLxV1uMutH+sDrIVaCSyhkRkMdY5dJGcoanQlr3yGx9+V7ZyLL&#10;vpK2NyOXu1amSj1LZxrihdp0uK+xvBwGpwHD8JSo3cZVp/fb+PCZ3r7H7qj1/XLavYKIOMW/MMz4&#10;jA4FM539QDaIVsNq88hJDXxodlWapCDOs5ZFLv/TF78AAAD//wMAUEsBAi0AFAAGAAgAAAAhALaD&#10;OJL+AAAA4QEAABMAAAAAAAAAAAAAAAAAAAAAAFtDb250ZW50X1R5cGVzXS54bWxQSwECLQAUAAYA&#10;CAAAACEAOP0h/9YAAACUAQAACwAAAAAAAAAAAAAAAAAvAQAAX3JlbHMvLnJlbHNQSwECLQAUAAYA&#10;CAAAACEAnJIlHh4CAAA7BAAADgAAAAAAAAAAAAAAAAAuAgAAZHJzL2Uyb0RvYy54bWxQSwECLQAU&#10;AAYACAAAACEAwhmlTtoAAAAFAQAADwAAAAAAAAAAAAAAAAB4BAAAZHJzL2Rvd25yZXYueG1sUEsF&#10;BgAAAAAEAAQA8wAAAH8FAAAAAA==&#10;"/>
          </w:pict>
        </mc:Fallback>
      </mc:AlternateContent>
    </w:r>
    <w:r w:rsidR="000D4F56" w:rsidRPr="00F23243">
      <w:rPr>
        <w:rFonts w:ascii="Times New Roman Bold" w:hAnsi="Times New Roman Bold"/>
        <w:b/>
        <w:caps/>
        <w:sz w:val="20"/>
      </w:rPr>
      <w:t>General Provisions</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5" o:spid="_x0000_s2076" type="#_x0000_t136" style="position:absolute;margin-left:0;margin-top:0;width:630.6pt;height:90.05pt;rotation:315;z-index:-25160652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9" o:spid="_x0000_s2080" type="#_x0000_t136" style="position:absolute;margin-left:0;margin-top:0;width:630.6pt;height:90.05pt;rotation:315;z-index:-25159833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F23243" w:rsidRDefault="006333C0"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0" o:spid="_x0000_s2081" type="#_x0000_t136" style="position:absolute;left:0;text-align:left;margin-left:0;margin-top:0;width:630.6pt;height:90.05pt;rotation:315;z-index:-2515962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F23243">
      <w:rPr>
        <w:rFonts w:ascii="Times New Roman Bold" w:hAnsi="Times New Roman Bold"/>
        <w:b/>
        <w:caps/>
        <w:sz w:val="20"/>
      </w:rPr>
      <w:t xml:space="preserve">Appendix NESHAP, Subpart </w:t>
    </w:r>
    <w:r w:rsidR="000D4F56">
      <w:rPr>
        <w:rFonts w:ascii="Times New Roman Bold" w:hAnsi="Times New Roman Bold"/>
        <w:b/>
        <w:caps/>
        <w:sz w:val="20"/>
      </w:rPr>
      <w:t>AAAA</w:t>
    </w:r>
  </w:p>
  <w:p w:rsidR="000D4F56" w:rsidRPr="00C47114" w:rsidRDefault="00C718A9"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rFonts w:ascii="Times New Roman Bold" w:hAnsi="Times New Roman Bold"/>
        <w:b/>
        <w:caps/>
        <w:noProof/>
        <w:sz w:val="20"/>
      </w:rPr>
      <mc:AlternateContent>
        <mc:Choice Requires="wps">
          <w:drawing>
            <wp:anchor distT="0" distB="0" distL="114300" distR="114300" simplePos="0" relativeHeight="251658752" behindDoc="0" locked="0" layoutInCell="1" allowOverlap="1">
              <wp:simplePos x="0" y="0"/>
              <wp:positionH relativeFrom="column">
                <wp:posOffset>-278130</wp:posOffset>
              </wp:positionH>
              <wp:positionV relativeFrom="paragraph">
                <wp:posOffset>0</wp:posOffset>
              </wp:positionV>
              <wp:extent cx="724852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8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A57155" id="_x0000_t32" coordsize="21600,21600" o:spt="32" o:oned="t" path="m,l21600,21600e" filled="f">
              <v:path arrowok="t" fillok="f" o:connecttype="none"/>
              <o:lock v:ext="edit" shapetype="t"/>
            </v:shapetype>
            <v:shape id="AutoShape 3" o:spid="_x0000_s1026" type="#_x0000_t32" style="position:absolute;margin-left:-21.9pt;margin-top:0;width:570.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jBHAIAADsEAAAOAAAAZHJzL2Uyb0RvYy54bWysU01v2zAMvQ/YfxB0T2ynTpoYcYrCTnbp&#10;1gDtfoAiybYwWRIkJU4w7L+PUj7QdpdhWA4KZZKPj3zU8uHYS3Tg1gmtSpyNU4y4opoJ1Zb4++tm&#10;NMfIeaIYkVrxEp+4ww+rz5+Wgyn4RHdaMm4RgChXDKbEnfemSBJHO94TN9aGK3A22vbEw9W2CbNk&#10;APReJpM0nSWDtsxYTblz8LU+O/Eq4jcNp/65aRz3SJYYuPl42njuwpmslqRoLTGdoBca5B9Y9EQo&#10;KHqDqoknaG/FH1C9oFY73fgx1X2im0ZQHnuAbrL0QzcvHTE89gLDceY2Jvf/YOm3w9YiwUA7jBTp&#10;QaLHvdexMroL4xmMKyCqUlsbGqRH9WKeNP3hkNJVR1TLY/DryUBuFjKSdynh4gwU2Q1fNYMYAvhx&#10;VsfG9gESpoCOUZLTTRJ+9IjCx/tJPp9OphjRqy8hxTXRWOe/cN2jYJTYeUtE2/lKKwXCa5vFMuTw&#10;5HygRYprQqiq9EZIGfWXCg0lXoQ6weO0FCw448W2u0padCBhg+Iv9vghzOq9YhGs44StL7YnQp5t&#10;KC5VwIPGgM7FOq/Iz0W6WM/X83yUT2brUZ7W9ehxU+Wj2Sa7n9Z3dVXV2a9ALcuLTjDGVWB3Xdcs&#10;/7t1uDyc86LdFvY2huQ9epwXkL3+R9JR2SDmeS12mp229qo4bGgMvrym8ATe3sF+++ZXvwEAAP//&#10;AwBQSwMEFAAGAAgAAAAhABRYcwDbAAAABgEAAA8AAABkcnMvZG93bnJldi54bWxMj81uwjAQhO+V&#10;+g7WVuJSgQ39oYRsEELqoccCUq8m3iYp8TqKHZLy9HVO5Tia0cw36WawtbhQ6yvHCPOZAkGcO1Nx&#10;gXA8vE/fQPig2ejaMSH8kodNdn+X6sS4nj/psg+FiCXsE41QhtAkUvq8JKv9zDXE0ft2rdUhyraQ&#10;ptV9LLe1XCj1Kq2uOC6UuqFdSfl531kE8t3LXG1Xtjh+XPvHr8X1p28OiJOHYbsGEWgI/2EY8SM6&#10;ZJHp5Do2XtQI0+eniB4Q4qPRVqvlEsRp1DJL5S1+9gcAAP//AwBQSwECLQAUAAYACAAAACEAtoM4&#10;kv4AAADhAQAAEwAAAAAAAAAAAAAAAAAAAAAAW0NvbnRlbnRfVHlwZXNdLnhtbFBLAQItABQABgAI&#10;AAAAIQA4/SH/1gAAAJQBAAALAAAAAAAAAAAAAAAAAC8BAABfcmVscy8ucmVsc1BLAQItABQABgAI&#10;AAAAIQAHiUjBHAIAADsEAAAOAAAAAAAAAAAAAAAAAC4CAABkcnMvZTJvRG9jLnhtbFBLAQItABQA&#10;BgAIAAAAIQAUWHMA2wAAAAYBAAAPAAAAAAAAAAAAAAAAAHYEAABkcnMvZG93bnJldi54bWxQSwUG&#10;AAAAAAQABADzAAAAfgUAAAAA&#10;"/>
          </w:pict>
        </mc:Fallback>
      </mc:AlternateContent>
    </w:r>
    <w:r w:rsidR="000D4F56" w:rsidRPr="00C47114">
      <w:rPr>
        <w:rFonts w:ascii="Times New Roman Bold" w:hAnsi="Times New Roman Bold"/>
        <w:b/>
        <w:caps/>
        <w:sz w:val="20"/>
      </w:rPr>
      <w:t>National Emissions Standards for Hazardous</w:t>
    </w:r>
    <w:r w:rsidR="000D4F56">
      <w:rPr>
        <w:rFonts w:ascii="Times New Roman Bold" w:hAnsi="Times New Roman Bold"/>
        <w:b/>
        <w:caps/>
        <w:sz w:val="20"/>
      </w:rPr>
      <w:t xml:space="preserve"> Air Pollutants, MUNICIPAL SOLID WASTE LANDFILLS</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1" o:spid="_x0000_s2052" type="#_x0000_t136" style="position:absolute;margin-left:0;margin-top:0;width:630.6pt;height:90.05pt;rotation:315;z-index:-2516556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38" o:spid="_x0000_s2079" type="#_x0000_t136" style="position:absolute;margin-left:0;margin-top:0;width:630.6pt;height:90.05pt;rotation:315;z-index:-2516003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2" o:spid="_x0000_s2083" type="#_x0000_t136" style="position:absolute;margin-left:0;margin-top:0;width:630.6pt;height:90.05pt;rotation:315;z-index:-25159219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6333C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3" o:spid="_x0000_s2084" type="#_x0000_t136" style="position:absolute;left:0;text-align:left;margin-left:0;margin-top:0;width:630.6pt;height:90.05pt;rotation:315;z-index:-2515901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Pr>
        <w:b/>
        <w:caps/>
        <w:sz w:val="20"/>
      </w:rPr>
      <w:t>ATTACHMENTS</w:t>
    </w:r>
  </w:p>
  <w:p w:rsidR="000D4F56" w:rsidRPr="002C56F4" w:rsidRDefault="000D4F56"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0D4F56" w:rsidRPr="00E00BFE" w:rsidRDefault="000D4F56"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1" o:spid="_x0000_s2082" type="#_x0000_t136" style="position:absolute;margin-left:0;margin-top:0;width:630.6pt;height:90.05pt;rotation:315;z-index:-2515942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5" o:spid="_x0000_s2086" type="#_x0000_t136" style="position:absolute;margin-left:0;margin-top:0;width:630.6pt;height:90.05pt;rotation:315;z-index:-25158604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6333C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6" o:spid="_x0000_s2087" type="#_x0000_t136" style="position:absolute;left:0;text-align:left;margin-left:0;margin-top:0;width:630.6pt;height:90.05pt;rotation:315;z-index:-2515840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Pr>
        <w:b/>
        <w:caps/>
        <w:sz w:val="20"/>
      </w:rPr>
      <w:t xml:space="preserve">Table </w:t>
    </w:r>
    <w:r w:rsidR="002E78A4">
      <w:rPr>
        <w:b/>
        <w:caps/>
        <w:sz w:val="20"/>
      </w:rPr>
      <w:t>1</w:t>
    </w:r>
  </w:p>
  <w:p w:rsidR="000D4F56" w:rsidRDefault="000D4F56" w:rsidP="009F1270">
    <w:pPr>
      <w:pStyle w:val="Heading8"/>
      <w:tabs>
        <w:tab w:val="clear" w:pos="4320"/>
      </w:tabs>
      <w:spacing w:after="120"/>
      <w:jc w:val="center"/>
      <w:rPr>
        <w:caps/>
        <w:sz w:val="20"/>
      </w:rPr>
    </w:pPr>
    <w:r w:rsidRPr="00136F13">
      <w:rPr>
        <w:caps/>
        <w:sz w:val="20"/>
      </w:rPr>
      <w:t>Summary of Air Pollutant Standards and Terms</w:t>
    </w:r>
  </w:p>
  <w:p w:rsidR="000D4F56" w:rsidRPr="00136F13" w:rsidRDefault="000D4F56" w:rsidP="009F1270">
    <w:pPr>
      <w:jc w:val="center"/>
      <w:rPr>
        <w:rFonts w:ascii="MS Sans Serif" w:hAnsi="MS Sans Serif"/>
        <w:sz w:val="20"/>
      </w:rPr>
    </w:pPr>
    <w:r w:rsidRPr="00136F13">
      <w:rPr>
        <w:rFonts w:ascii="MS Sans Serif" w:hAnsi="MS Sans Serif"/>
        <w:sz w:val="20"/>
      </w:rPr>
      <w:t>This table summarizes information for convenience purposes only.  This table does not supersede any of the terms or conditions of this permit.</w:t>
    </w:r>
  </w:p>
  <w:p w:rsidR="000D4F56" w:rsidRDefault="000D4F56"/>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4" o:spid="_x0000_s2085" type="#_x0000_t136" style="position:absolute;margin-left:0;margin-top:0;width:630.6pt;height:90.05pt;rotation:315;z-index:-2515880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8" o:spid="_x0000_s2089" type="#_x0000_t136" style="position:absolute;margin-left:0;margin-top:0;width:630.6pt;height:90.05pt;rotation:315;z-index:-2515799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BB6" w:rsidRPr="00784C5C" w:rsidRDefault="006333C0">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9" o:spid="_x0000_s2090" type="#_x0000_t136" style="position:absolute;left:0;text-align:left;margin-left:0;margin-top:0;width:630.6pt;height:90.05pt;rotation:315;z-index:-2515778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F3BB6">
      <w:rPr>
        <w:b/>
        <w:caps/>
        <w:sz w:val="20"/>
      </w:rPr>
      <w:t>Table H</w:t>
    </w:r>
  </w:p>
  <w:p w:rsidR="00CF3BB6" w:rsidRDefault="00CF3BB6" w:rsidP="0089414C">
    <w:pPr>
      <w:pStyle w:val="Heading8"/>
      <w:tabs>
        <w:tab w:val="clear" w:pos="4320"/>
      </w:tabs>
      <w:jc w:val="center"/>
      <w:rPr>
        <w:caps/>
        <w:sz w:val="20"/>
      </w:rPr>
    </w:pPr>
    <w:r w:rsidRPr="00DD573B">
      <w:rPr>
        <w:caps/>
        <w:sz w:val="20"/>
      </w:rPr>
      <w:t>Permit History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47" o:spid="_x0000_s2088" type="#_x0000_t136" style="position:absolute;margin-left:0;margin-top:0;width:630.6pt;height:90.05pt;rotation:315;z-index:-2515819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5" o:spid="_x0000_s2056" type="#_x0000_t136" style="position:absolute;margin-left:0;margin-top:0;width:630.6pt;height:90.05pt;rotation:315;z-index:-25164748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6333C0" w:rsidP="009A3F76">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6" o:spid="_x0000_s2057" type="#_x0000_t136" style="position:absolute;left:0;text-align:left;margin-left:0;margin-top:0;width:630.6pt;height:90.05pt;rotation:315;z-index:-25164544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Pr>
        <w:b/>
        <w:caps/>
        <w:sz w:val="20"/>
      </w:rPr>
      <w:t>APPENDIX I</w:t>
    </w:r>
  </w:p>
  <w:p w:rsidR="000D4F56" w:rsidRDefault="000D4F56" w:rsidP="009A3F76">
    <w:pPr>
      <w:pStyle w:val="Heading8"/>
      <w:tabs>
        <w:tab w:val="clear" w:pos="4320"/>
      </w:tabs>
      <w:jc w:val="center"/>
      <w:rPr>
        <w:caps/>
        <w:sz w:val="20"/>
      </w:rPr>
    </w:pPr>
    <w:r>
      <w:rPr>
        <w:caps/>
        <w:sz w:val="20"/>
      </w:rPr>
      <w:t>List of insignificant emissions units and/or activities</w:t>
    </w:r>
  </w:p>
  <w:p w:rsidR="000D4F56" w:rsidRDefault="000D4F5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4" o:spid="_x0000_s2055" type="#_x0000_t136" style="position:absolute;margin-left:0;margin-top:0;width:630.6pt;height:90.05pt;rotation:315;z-index:-25164953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8" o:spid="_x0000_s2059" type="#_x0000_t136" style="position:absolute;margin-left:0;margin-top:0;width:630.6pt;height:90.05pt;rotation:315;z-index:-25164134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00182A" w:rsidRDefault="006333C0" w:rsidP="00B52591">
    <w:pPr>
      <w:pStyle w:val="Header"/>
      <w:pBdr>
        <w:bottom w:val="single" w:sz="4" w:space="1" w:color="auto"/>
      </w:pBdr>
      <w:tabs>
        <w:tab w:val="clear" w:pos="8640"/>
      </w:tabs>
      <w:jc w:val="center"/>
      <w:rPr>
        <w:b/>
        <w:caps/>
        <w:sz w:val="20"/>
        <w:highlight w:val="yellow"/>
        <w:u w:val="doub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9" o:spid="_x0000_s2060" type="#_x0000_t136" style="position:absolute;left:0;text-align:left;margin-left:0;margin-top:0;width:630.6pt;height:90.05pt;rotation:315;z-index:-25163929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D4F56" w:rsidRPr="0000182A">
      <w:rPr>
        <w:b/>
        <w:caps/>
        <w:sz w:val="20"/>
        <w:highlight w:val="yellow"/>
        <w:u w:val="double"/>
      </w:rPr>
      <w:t>APPENDIX RR</w:t>
    </w:r>
  </w:p>
  <w:p w:rsidR="000D4F56" w:rsidRPr="0000182A" w:rsidRDefault="000D4F56" w:rsidP="00B52591">
    <w:pPr>
      <w:tabs>
        <w:tab w:val="left" w:pos="720"/>
      </w:tabs>
      <w:ind w:left="540" w:hanging="540"/>
      <w:jc w:val="center"/>
      <w:rPr>
        <w:b/>
        <w:caps/>
        <w:sz w:val="20"/>
        <w:highlight w:val="yellow"/>
        <w:u w:val="double"/>
      </w:rPr>
    </w:pPr>
    <w:r w:rsidRPr="0000182A">
      <w:rPr>
        <w:b/>
        <w:caps/>
        <w:sz w:val="20"/>
        <w:highlight w:val="yellow"/>
        <w:u w:val="double"/>
      </w:rPr>
      <w:t>Facility-wide Reporting Requirements</w:t>
    </w:r>
  </w:p>
  <w:p w:rsidR="000D4F56" w:rsidRPr="0000182A" w:rsidRDefault="000D4F56" w:rsidP="00B52591">
    <w:pPr>
      <w:tabs>
        <w:tab w:val="left" w:pos="720"/>
      </w:tabs>
      <w:ind w:left="540" w:hanging="540"/>
      <w:jc w:val="center"/>
      <w:rPr>
        <w:sz w:val="20"/>
        <w:u w:val="double"/>
      </w:rPr>
    </w:pPr>
    <w:r w:rsidRPr="0000182A">
      <w:rPr>
        <w:sz w:val="20"/>
        <w:highlight w:val="yellow"/>
        <w:u w:val="double"/>
      </w:rPr>
      <w:t xml:space="preserve">(Version Dated </w:t>
    </w:r>
    <w:r w:rsidR="008E6CB8">
      <w:rPr>
        <w:sz w:val="20"/>
        <w:highlight w:val="yellow"/>
        <w:u w:val="double"/>
      </w:rPr>
      <w:t>0</w:t>
    </w:r>
    <w:r w:rsidR="0000182A" w:rsidRPr="0000182A">
      <w:rPr>
        <w:sz w:val="20"/>
        <w:highlight w:val="yellow"/>
        <w:u w:val="double"/>
      </w:rPr>
      <w:t>2</w:t>
    </w:r>
    <w:r w:rsidRPr="0000182A">
      <w:rPr>
        <w:sz w:val="20"/>
        <w:highlight w:val="yellow"/>
        <w:u w:val="double"/>
      </w:rPr>
      <w:t>/1</w:t>
    </w:r>
    <w:r w:rsidR="0000182A" w:rsidRPr="0000182A">
      <w:rPr>
        <w:sz w:val="20"/>
        <w:highlight w:val="yellow"/>
        <w:u w:val="double"/>
      </w:rPr>
      <w:t>3</w:t>
    </w:r>
    <w:r w:rsidRPr="0000182A">
      <w:rPr>
        <w:sz w:val="20"/>
        <w:highlight w:val="yellow"/>
        <w:u w:val="double"/>
      </w:rPr>
      <w:t>/20</w:t>
    </w:r>
    <w:r w:rsidR="0000182A" w:rsidRPr="0000182A">
      <w:rPr>
        <w:sz w:val="20"/>
        <w:highlight w:val="yellow"/>
        <w:u w:val="double"/>
      </w:rPr>
      <w:t>14</w:t>
    </w:r>
    <w:r w:rsidRPr="0000182A">
      <w:rPr>
        <w:sz w:val="20"/>
        <w:highlight w:val="yellow"/>
        <w:u w:val="double"/>
      </w:rPr>
      <w:t>)</w:t>
    </w:r>
  </w:p>
  <w:p w:rsidR="000D4F56" w:rsidRPr="00322CB9" w:rsidRDefault="000D4F56" w:rsidP="00B52591">
    <w:pPr>
      <w:tabs>
        <w:tab w:val="left" w:pos="720"/>
      </w:tabs>
      <w:ind w:left="540" w:hanging="540"/>
      <w:jc w:val="center"/>
      <w:rPr>
        <w:b/>
        <w:bCs/>
        <w:caps/>
        <w:smallCap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3C0" w:rsidRDefault="006333C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8217" o:spid="_x0000_s2058" type="#_x0000_t136" style="position:absolute;margin-left:0;margin-top:0;width:630.6pt;height:90.05pt;rotation:315;z-index:-25164339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C7CE5"/>
    <w:multiLevelType w:val="hybridMultilevel"/>
    <w:tmpl w:val="BA48E7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B5400"/>
    <w:multiLevelType w:val="hybridMultilevel"/>
    <w:tmpl w:val="B0E03700"/>
    <w:lvl w:ilvl="0" w:tplc="07F6BB1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771B6F"/>
    <w:multiLevelType w:val="hybridMultilevel"/>
    <w:tmpl w:val="4768ED3E"/>
    <w:lvl w:ilvl="0" w:tplc="A79EF2F6">
      <w:start w:val="2"/>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7931717"/>
    <w:multiLevelType w:val="hybridMultilevel"/>
    <w:tmpl w:val="FABA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7"/>
  </w:num>
  <w:num w:numId="4">
    <w:abstractNumId w:val="8"/>
  </w:num>
  <w:num w:numId="5">
    <w:abstractNumId w:val="6"/>
  </w:num>
  <w:num w:numId="6">
    <w:abstractNumId w:val="4"/>
  </w:num>
  <w:num w:numId="7">
    <w:abstractNumId w:val="2"/>
  </w:num>
  <w:num w:numId="8">
    <w:abstractNumId w:val="3"/>
  </w:num>
  <w:num w:numId="9">
    <w:abstractNumId w:val="12"/>
  </w:num>
  <w:num w:numId="10">
    <w:abstractNumId w:val="0"/>
  </w:num>
  <w:num w:numId="11">
    <w:abstractNumId w:val="13"/>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9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182A"/>
    <w:rsid w:val="00011ADB"/>
    <w:rsid w:val="0001387B"/>
    <w:rsid w:val="0001486D"/>
    <w:rsid w:val="0002201E"/>
    <w:rsid w:val="000318B8"/>
    <w:rsid w:val="000404B7"/>
    <w:rsid w:val="000510B2"/>
    <w:rsid w:val="00066028"/>
    <w:rsid w:val="000B6E29"/>
    <w:rsid w:val="000D4F56"/>
    <w:rsid w:val="000E73FA"/>
    <w:rsid w:val="00136F13"/>
    <w:rsid w:val="00176D12"/>
    <w:rsid w:val="0018780D"/>
    <w:rsid w:val="00191AC7"/>
    <w:rsid w:val="001B3C12"/>
    <w:rsid w:val="001D42B7"/>
    <w:rsid w:val="001E4368"/>
    <w:rsid w:val="00251DE3"/>
    <w:rsid w:val="002C1291"/>
    <w:rsid w:val="002E78A4"/>
    <w:rsid w:val="002F4B89"/>
    <w:rsid w:val="0031683A"/>
    <w:rsid w:val="003202AE"/>
    <w:rsid w:val="0034299A"/>
    <w:rsid w:val="00363823"/>
    <w:rsid w:val="00380AF2"/>
    <w:rsid w:val="003A55EA"/>
    <w:rsid w:val="003E3597"/>
    <w:rsid w:val="003E3AE4"/>
    <w:rsid w:val="00475017"/>
    <w:rsid w:val="00480B87"/>
    <w:rsid w:val="00483C67"/>
    <w:rsid w:val="00490369"/>
    <w:rsid w:val="004E22BF"/>
    <w:rsid w:val="004F3821"/>
    <w:rsid w:val="00504FB6"/>
    <w:rsid w:val="00562877"/>
    <w:rsid w:val="005C029B"/>
    <w:rsid w:val="005F4DB6"/>
    <w:rsid w:val="0060411C"/>
    <w:rsid w:val="006167E2"/>
    <w:rsid w:val="006333C0"/>
    <w:rsid w:val="0065658A"/>
    <w:rsid w:val="0066243A"/>
    <w:rsid w:val="006801EA"/>
    <w:rsid w:val="00680515"/>
    <w:rsid w:val="00680906"/>
    <w:rsid w:val="006A698A"/>
    <w:rsid w:val="006A706E"/>
    <w:rsid w:val="006D4EE5"/>
    <w:rsid w:val="006F29C9"/>
    <w:rsid w:val="007079B9"/>
    <w:rsid w:val="00724A0A"/>
    <w:rsid w:val="00757035"/>
    <w:rsid w:val="00760B86"/>
    <w:rsid w:val="00795827"/>
    <w:rsid w:val="007A2CCC"/>
    <w:rsid w:val="007C31C6"/>
    <w:rsid w:val="007C5B32"/>
    <w:rsid w:val="0089414C"/>
    <w:rsid w:val="00896C28"/>
    <w:rsid w:val="008B2D19"/>
    <w:rsid w:val="008E02B7"/>
    <w:rsid w:val="008E6697"/>
    <w:rsid w:val="008E6CB8"/>
    <w:rsid w:val="008F016B"/>
    <w:rsid w:val="008F0F8B"/>
    <w:rsid w:val="00902B64"/>
    <w:rsid w:val="0092134D"/>
    <w:rsid w:val="009313D8"/>
    <w:rsid w:val="00946A16"/>
    <w:rsid w:val="0096066D"/>
    <w:rsid w:val="00980694"/>
    <w:rsid w:val="00997E63"/>
    <w:rsid w:val="009A2620"/>
    <w:rsid w:val="009A3F76"/>
    <w:rsid w:val="009A4487"/>
    <w:rsid w:val="009A4F8E"/>
    <w:rsid w:val="009F1270"/>
    <w:rsid w:val="00A47389"/>
    <w:rsid w:val="00A479CB"/>
    <w:rsid w:val="00A750A5"/>
    <w:rsid w:val="00A81F58"/>
    <w:rsid w:val="00A97987"/>
    <w:rsid w:val="00AD504E"/>
    <w:rsid w:val="00AE48B1"/>
    <w:rsid w:val="00B10AF2"/>
    <w:rsid w:val="00B25439"/>
    <w:rsid w:val="00B3512C"/>
    <w:rsid w:val="00B52591"/>
    <w:rsid w:val="00B7058B"/>
    <w:rsid w:val="00B740B3"/>
    <w:rsid w:val="00B75A93"/>
    <w:rsid w:val="00B8718C"/>
    <w:rsid w:val="00B97175"/>
    <w:rsid w:val="00BA12A8"/>
    <w:rsid w:val="00BF1E15"/>
    <w:rsid w:val="00C35DAC"/>
    <w:rsid w:val="00C4103B"/>
    <w:rsid w:val="00C445AF"/>
    <w:rsid w:val="00C64644"/>
    <w:rsid w:val="00C71874"/>
    <w:rsid w:val="00C718A9"/>
    <w:rsid w:val="00C8324F"/>
    <w:rsid w:val="00C8494E"/>
    <w:rsid w:val="00CA43EB"/>
    <w:rsid w:val="00CE1EEA"/>
    <w:rsid w:val="00CF3BB6"/>
    <w:rsid w:val="00D12C52"/>
    <w:rsid w:val="00D25C97"/>
    <w:rsid w:val="00D52BC7"/>
    <w:rsid w:val="00D64005"/>
    <w:rsid w:val="00D81192"/>
    <w:rsid w:val="00DB0D2C"/>
    <w:rsid w:val="00DC3007"/>
    <w:rsid w:val="00DC33FD"/>
    <w:rsid w:val="00DC58E3"/>
    <w:rsid w:val="00DF1445"/>
    <w:rsid w:val="00E00BFE"/>
    <w:rsid w:val="00E04695"/>
    <w:rsid w:val="00E15331"/>
    <w:rsid w:val="00E34AB4"/>
    <w:rsid w:val="00E53B4E"/>
    <w:rsid w:val="00E93327"/>
    <w:rsid w:val="00EB7550"/>
    <w:rsid w:val="00ED0F49"/>
    <w:rsid w:val="00EF2C0C"/>
    <w:rsid w:val="00F1003F"/>
    <w:rsid w:val="00F11048"/>
    <w:rsid w:val="00F13ADC"/>
    <w:rsid w:val="00F27DF6"/>
    <w:rsid w:val="00F51847"/>
    <w:rsid w:val="00F61F2C"/>
    <w:rsid w:val="00F93882"/>
    <w:rsid w:val="00FA4B04"/>
    <w:rsid w:val="00FB1195"/>
    <w:rsid w:val="00FB7481"/>
    <w:rsid w:val="00FC2A60"/>
    <w:rsid w:val="00FE6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91"/>
    <o:shapelayout v:ext="edit">
      <o:idmap v:ext="edit" data="1"/>
    </o:shapelayout>
  </w:shapeDefaults>
  <w:decimalSymbol w:val="."/>
  <w:listSeparator w:val=","/>
  <w15:chartTrackingRefBased/>
  <w15:docId w15:val="{B82F9BF8-B57A-4440-BB3E-51556569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FooterChar">
    <w:name w:val="Footer Char"/>
    <w:link w:val="Footer"/>
    <w:locked/>
    <w:rsid w:val="00EB7550"/>
    <w:rPr>
      <w:sz w:val="22"/>
    </w:rPr>
  </w:style>
  <w:style w:type="paragraph" w:styleId="NormalWeb">
    <w:name w:val="Normal (Web)"/>
    <w:basedOn w:val="Normal"/>
    <w:uiPriority w:val="99"/>
    <w:rsid w:val="00EB7550"/>
    <w:pPr>
      <w:spacing w:before="100" w:beforeAutospacing="1" w:after="100" w:afterAutospacing="1"/>
    </w:pPr>
    <w:rPr>
      <w:rFonts w:ascii="Arial Unicode MS" w:eastAsia="Arial Unicode MS" w:hAnsi="Arial Unicode MS" w:cs="Arial Unicode MS"/>
      <w:sz w:val="24"/>
      <w:szCs w:val="24"/>
    </w:rPr>
  </w:style>
  <w:style w:type="character" w:customStyle="1" w:styleId="updatebodytest1">
    <w:name w:val="updatebodytest1"/>
    <w:rsid w:val="00EB7550"/>
    <w:rPr>
      <w:rFonts w:ascii="Arial" w:hAnsi="Arial" w:cs="Arial" w:hint="default"/>
      <w:b w:val="0"/>
      <w:bCs w:val="0"/>
      <w:i w:val="0"/>
      <w:iCs w:val="0"/>
      <w:smallCaps w:val="0"/>
      <w:sz w:val="18"/>
      <w:szCs w:val="18"/>
    </w:rPr>
  </w:style>
  <w:style w:type="paragraph" w:customStyle="1" w:styleId="tablenote">
    <w:name w:val="table_note"/>
    <w:basedOn w:val="Normal"/>
    <w:rsid w:val="00EB7550"/>
    <w:pPr>
      <w:spacing w:before="100" w:beforeAutospacing="1" w:after="100" w:afterAutospacing="1"/>
    </w:pPr>
    <w:rPr>
      <w:rFonts w:eastAsia="Calibri"/>
      <w:sz w:val="24"/>
      <w:szCs w:val="24"/>
    </w:rPr>
  </w:style>
  <w:style w:type="character" w:styleId="Emphasis">
    <w:name w:val="Emphasis"/>
    <w:uiPriority w:val="20"/>
    <w:qFormat/>
    <w:rsid w:val="00EB7550"/>
    <w:rPr>
      <w:i/>
      <w:iCs/>
    </w:rPr>
  </w:style>
  <w:style w:type="paragraph" w:customStyle="1" w:styleId="tabletitle">
    <w:name w:val="table_title"/>
    <w:basedOn w:val="Normal"/>
    <w:rsid w:val="00EB7550"/>
    <w:pPr>
      <w:spacing w:before="100" w:beforeAutospacing="1" w:after="100" w:afterAutospacing="1"/>
      <w:jc w:val="center"/>
    </w:pPr>
    <w:rPr>
      <w:rFonts w:eastAsia="Calibri"/>
      <w:b/>
      <w:bCs/>
      <w:sz w:val="24"/>
      <w:szCs w:val="24"/>
    </w:rPr>
  </w:style>
  <w:style w:type="character" w:customStyle="1" w:styleId="mainheader1">
    <w:name w:val="mainheader1"/>
    <w:rsid w:val="00EB7550"/>
    <w:rPr>
      <w:b/>
      <w:bCs/>
      <w:sz w:val="31"/>
      <w:szCs w:val="31"/>
    </w:rPr>
  </w:style>
  <w:style w:type="character" w:customStyle="1" w:styleId="div5head">
    <w:name w:val="div5head"/>
    <w:basedOn w:val="DefaultParagraphFont"/>
    <w:rsid w:val="00EB7550"/>
  </w:style>
  <w:style w:type="character" w:customStyle="1" w:styleId="Heading5Char">
    <w:name w:val="Heading 5 Char"/>
    <w:link w:val="Heading5"/>
    <w:uiPriority w:val="9"/>
    <w:rsid w:val="00EB7550"/>
    <w:rPr>
      <w:b/>
      <w:bCs/>
      <w:i/>
      <w:iCs/>
      <w:sz w:val="26"/>
      <w:szCs w:val="26"/>
    </w:rPr>
  </w:style>
  <w:style w:type="character" w:styleId="FollowedHyperlink">
    <w:name w:val="FollowedHyperlink"/>
    <w:uiPriority w:val="99"/>
    <w:unhideWhenUsed/>
    <w:rsid w:val="00EB7550"/>
    <w:rPr>
      <w:color w:val="800080"/>
      <w:u w:val="single"/>
    </w:rPr>
  </w:style>
  <w:style w:type="paragraph" w:customStyle="1" w:styleId="td">
    <w:name w:val="td"/>
    <w:basedOn w:val="Normal"/>
    <w:rsid w:val="00EB7550"/>
    <w:pPr>
      <w:spacing w:before="100" w:beforeAutospacing="1" w:after="100" w:afterAutospacing="1"/>
    </w:pPr>
    <w:rPr>
      <w:rFonts w:ascii="Arial" w:hAnsi="Arial" w:cs="Arial"/>
      <w:sz w:val="18"/>
      <w:szCs w:val="18"/>
    </w:rPr>
  </w:style>
  <w:style w:type="paragraph" w:customStyle="1" w:styleId="tr">
    <w:name w:val="tr"/>
    <w:basedOn w:val="Normal"/>
    <w:rsid w:val="00EB7550"/>
    <w:pPr>
      <w:spacing w:before="100" w:beforeAutospacing="1" w:after="100" w:afterAutospacing="1"/>
    </w:pPr>
    <w:rPr>
      <w:rFonts w:ascii="Arial" w:hAnsi="Arial" w:cs="Arial"/>
      <w:sz w:val="18"/>
      <w:szCs w:val="18"/>
    </w:rPr>
  </w:style>
  <w:style w:type="paragraph" w:customStyle="1" w:styleId="h1">
    <w:name w:val="h1"/>
    <w:basedOn w:val="Normal"/>
    <w:rsid w:val="00EB7550"/>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EB7550"/>
    <w:pPr>
      <w:spacing w:before="100" w:beforeAutospacing="1"/>
    </w:pPr>
    <w:rPr>
      <w:rFonts w:ascii="Arial" w:hAnsi="Arial" w:cs="Arial"/>
      <w:b/>
      <w:bCs/>
      <w:color w:val="000000"/>
      <w:sz w:val="21"/>
      <w:szCs w:val="21"/>
    </w:rPr>
  </w:style>
  <w:style w:type="paragraph" w:customStyle="1" w:styleId="h3">
    <w:name w:val="h3"/>
    <w:basedOn w:val="Normal"/>
    <w:rsid w:val="00EB7550"/>
    <w:pPr>
      <w:spacing w:before="100" w:beforeAutospacing="1"/>
    </w:pPr>
    <w:rPr>
      <w:rFonts w:ascii="Arial" w:hAnsi="Arial" w:cs="Arial"/>
      <w:b/>
      <w:bCs/>
      <w:sz w:val="18"/>
      <w:szCs w:val="18"/>
    </w:rPr>
  </w:style>
  <w:style w:type="paragraph" w:customStyle="1" w:styleId="Caption1">
    <w:name w:val="Caption1"/>
    <w:basedOn w:val="Normal"/>
    <w:rsid w:val="00EB7550"/>
    <w:pPr>
      <w:spacing w:before="100" w:beforeAutospacing="1"/>
    </w:pPr>
    <w:rPr>
      <w:rFonts w:ascii="Arial" w:hAnsi="Arial" w:cs="Arial"/>
      <w:b/>
      <w:bCs/>
      <w:sz w:val="18"/>
      <w:szCs w:val="18"/>
    </w:rPr>
  </w:style>
  <w:style w:type="paragraph" w:customStyle="1" w:styleId="Footer1">
    <w:name w:val="Footer1"/>
    <w:basedOn w:val="Normal"/>
    <w:rsid w:val="00EB7550"/>
    <w:pPr>
      <w:spacing w:before="100" w:beforeAutospacing="1" w:after="100" w:afterAutospacing="1"/>
      <w:jc w:val="center"/>
    </w:pPr>
    <w:rPr>
      <w:rFonts w:ascii="Arial" w:hAnsi="Arial" w:cs="Arial"/>
      <w:sz w:val="15"/>
      <w:szCs w:val="15"/>
    </w:rPr>
  </w:style>
  <w:style w:type="paragraph" w:customStyle="1" w:styleId="top">
    <w:name w:val="top"/>
    <w:basedOn w:val="Normal"/>
    <w:rsid w:val="00EB755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EB7550"/>
    <w:pPr>
      <w:spacing w:before="100" w:beforeAutospacing="1" w:after="100" w:afterAutospacing="1"/>
    </w:pPr>
    <w:rPr>
      <w:sz w:val="24"/>
      <w:szCs w:val="24"/>
    </w:rPr>
  </w:style>
  <w:style w:type="paragraph" w:customStyle="1" w:styleId="fontsmall">
    <w:name w:val="fontsmall"/>
    <w:basedOn w:val="Normal"/>
    <w:rsid w:val="00EB7550"/>
    <w:pPr>
      <w:spacing w:before="100" w:beforeAutospacing="1" w:after="100" w:afterAutospacing="1"/>
    </w:pPr>
    <w:rPr>
      <w:rFonts w:ascii="Arial" w:hAnsi="Arial" w:cs="Arial"/>
      <w:sz w:val="17"/>
      <w:szCs w:val="17"/>
    </w:rPr>
  </w:style>
  <w:style w:type="paragraph" w:customStyle="1" w:styleId="navigation">
    <w:name w:val="navigation"/>
    <w:basedOn w:val="Normal"/>
    <w:rsid w:val="00EB7550"/>
    <w:pPr>
      <w:spacing w:before="100" w:beforeAutospacing="1" w:after="100" w:afterAutospacing="1"/>
    </w:pPr>
    <w:rPr>
      <w:rFonts w:ascii="Arial" w:hAnsi="Arial" w:cs="Arial"/>
      <w:sz w:val="15"/>
      <w:szCs w:val="15"/>
    </w:rPr>
  </w:style>
  <w:style w:type="paragraph" w:customStyle="1" w:styleId="invisiblelink">
    <w:name w:val="invisiblelink"/>
    <w:basedOn w:val="Normal"/>
    <w:rsid w:val="00EB755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EB7550"/>
    <w:pPr>
      <w:spacing w:before="100" w:beforeAutospacing="1"/>
    </w:pPr>
    <w:rPr>
      <w:rFonts w:ascii="Arial" w:hAnsi="Arial" w:cs="Arial"/>
      <w:b/>
      <w:bCs/>
      <w:sz w:val="21"/>
      <w:szCs w:val="21"/>
    </w:rPr>
  </w:style>
  <w:style w:type="paragraph" w:customStyle="1" w:styleId="search">
    <w:name w:val="search"/>
    <w:basedOn w:val="Normal"/>
    <w:rsid w:val="00EB7550"/>
    <w:pPr>
      <w:spacing w:before="100" w:beforeAutospacing="1" w:after="100" w:afterAutospacing="1"/>
    </w:pPr>
    <w:rPr>
      <w:rFonts w:ascii="Arial" w:hAnsi="Arial" w:cs="Arial"/>
      <w:sz w:val="15"/>
      <w:szCs w:val="15"/>
    </w:rPr>
  </w:style>
  <w:style w:type="paragraph" w:customStyle="1" w:styleId="side">
    <w:name w:val="side"/>
    <w:basedOn w:val="Normal"/>
    <w:rsid w:val="00EB7550"/>
    <w:pPr>
      <w:spacing w:before="100" w:beforeAutospacing="1" w:after="100" w:afterAutospacing="1"/>
    </w:pPr>
    <w:rPr>
      <w:rFonts w:ascii="Arial" w:hAnsi="Arial" w:cs="Arial"/>
      <w:sz w:val="18"/>
      <w:szCs w:val="18"/>
    </w:rPr>
  </w:style>
  <w:style w:type="paragraph" w:customStyle="1" w:styleId="subparagraph">
    <w:name w:val="subparagraph"/>
    <w:basedOn w:val="Normal"/>
    <w:rsid w:val="00EB7550"/>
    <w:pPr>
      <w:spacing w:before="100" w:beforeAutospacing="1" w:after="100" w:afterAutospacing="1"/>
    </w:pPr>
    <w:rPr>
      <w:rFonts w:ascii="Arial" w:hAnsi="Arial" w:cs="Arial"/>
      <w:sz w:val="18"/>
      <w:szCs w:val="18"/>
    </w:rPr>
  </w:style>
  <w:style w:type="paragraph" w:customStyle="1" w:styleId="head">
    <w:name w:val="head"/>
    <w:basedOn w:val="Normal"/>
    <w:rsid w:val="00EB755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EB755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EB755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EB7550"/>
    <w:pPr>
      <w:spacing w:before="100" w:beforeAutospacing="1" w:after="100" w:afterAutospacing="1"/>
    </w:pPr>
    <w:rPr>
      <w:rFonts w:ascii="Arial" w:hAnsi="Arial" w:cs="Arial"/>
      <w:sz w:val="18"/>
      <w:szCs w:val="18"/>
    </w:rPr>
  </w:style>
  <w:style w:type="paragraph" w:customStyle="1" w:styleId="updatebold">
    <w:name w:val="updatebold"/>
    <w:basedOn w:val="Normal"/>
    <w:rsid w:val="00EB7550"/>
    <w:pPr>
      <w:spacing w:before="100" w:beforeAutospacing="1" w:after="100" w:afterAutospacing="1"/>
    </w:pPr>
    <w:rPr>
      <w:rFonts w:ascii="Arial" w:hAnsi="Arial" w:cs="Arial"/>
      <w:b/>
      <w:bCs/>
      <w:sz w:val="18"/>
      <w:szCs w:val="18"/>
    </w:rPr>
  </w:style>
  <w:style w:type="paragraph" w:customStyle="1" w:styleId="body">
    <w:name w:val="body"/>
    <w:basedOn w:val="Normal"/>
    <w:rsid w:val="00EB7550"/>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EB7550"/>
    <w:pPr>
      <w:spacing w:before="100" w:beforeAutospacing="1" w:after="100" w:afterAutospacing="1"/>
    </w:pPr>
    <w:rPr>
      <w:sz w:val="24"/>
      <w:szCs w:val="24"/>
      <w:u w:val="single"/>
    </w:rPr>
  </w:style>
  <w:style w:type="paragraph" w:customStyle="1" w:styleId="p">
    <w:name w:val="p"/>
    <w:basedOn w:val="Normal"/>
    <w:rsid w:val="00EB7550"/>
    <w:pPr>
      <w:spacing w:before="100" w:beforeAutospacing="1" w:after="100" w:afterAutospacing="1"/>
      <w:jc w:val="center"/>
    </w:pPr>
    <w:rPr>
      <w:rFonts w:ascii="Arial" w:hAnsi="Arial" w:cs="Arial"/>
      <w:sz w:val="24"/>
      <w:szCs w:val="24"/>
    </w:rPr>
  </w:style>
  <w:style w:type="paragraph" w:customStyle="1" w:styleId="title">
    <w:name w:val="title"/>
    <w:basedOn w:val="Normal"/>
    <w:rsid w:val="00EB7550"/>
    <w:pPr>
      <w:spacing w:before="100" w:beforeAutospacing="1" w:after="100" w:afterAutospacing="1"/>
    </w:pPr>
    <w:rPr>
      <w:rFonts w:ascii="Arial" w:hAnsi="Arial" w:cs="Arial"/>
      <w:b/>
      <w:bCs/>
      <w:sz w:val="30"/>
      <w:szCs w:val="30"/>
    </w:rPr>
  </w:style>
  <w:style w:type="paragraph" w:customStyle="1" w:styleId="subtitle">
    <w:name w:val="subtitle"/>
    <w:basedOn w:val="Normal"/>
    <w:rsid w:val="00EB7550"/>
    <w:pPr>
      <w:spacing w:before="100" w:beforeAutospacing="1" w:after="100" w:afterAutospacing="1"/>
    </w:pPr>
    <w:rPr>
      <w:rFonts w:ascii="Arial" w:hAnsi="Arial" w:cs="Arial"/>
      <w:b/>
      <w:bCs/>
      <w:sz w:val="21"/>
      <w:szCs w:val="21"/>
    </w:rPr>
  </w:style>
  <w:style w:type="paragraph" w:customStyle="1" w:styleId="mainheader">
    <w:name w:val="mainheader"/>
    <w:basedOn w:val="Normal"/>
    <w:rsid w:val="00EB7550"/>
    <w:pPr>
      <w:spacing w:before="100" w:beforeAutospacing="1" w:after="100" w:afterAutospacing="1"/>
    </w:pPr>
    <w:rPr>
      <w:b/>
      <w:bCs/>
      <w:sz w:val="31"/>
      <w:szCs w:val="31"/>
    </w:rPr>
  </w:style>
  <w:style w:type="paragraph" w:customStyle="1" w:styleId="chapter">
    <w:name w:val="chapter"/>
    <w:basedOn w:val="Normal"/>
    <w:rsid w:val="00EB7550"/>
    <w:pPr>
      <w:spacing w:before="100" w:beforeAutospacing="1" w:after="100" w:afterAutospacing="1"/>
    </w:pPr>
    <w:rPr>
      <w:rFonts w:ascii="Arial" w:hAnsi="Arial" w:cs="Arial"/>
      <w:b/>
      <w:bCs/>
      <w:sz w:val="24"/>
      <w:szCs w:val="24"/>
    </w:rPr>
  </w:style>
  <w:style w:type="paragraph" w:customStyle="1" w:styleId="subchapter">
    <w:name w:val="subchapter"/>
    <w:basedOn w:val="Normal"/>
    <w:rsid w:val="00EB7550"/>
    <w:pPr>
      <w:spacing w:before="100" w:beforeAutospacing="1" w:after="100" w:afterAutospacing="1"/>
    </w:pPr>
    <w:rPr>
      <w:rFonts w:ascii="Arial" w:hAnsi="Arial" w:cs="Arial"/>
      <w:b/>
      <w:bCs/>
      <w:sz w:val="21"/>
      <w:szCs w:val="21"/>
    </w:rPr>
  </w:style>
  <w:style w:type="paragraph" w:customStyle="1" w:styleId="part">
    <w:name w:val="part"/>
    <w:basedOn w:val="Normal"/>
    <w:rsid w:val="00EB7550"/>
    <w:pPr>
      <w:spacing w:before="100" w:beforeAutospacing="1" w:after="100" w:afterAutospacing="1"/>
    </w:pPr>
    <w:rPr>
      <w:b/>
      <w:bCs/>
      <w:sz w:val="24"/>
      <w:szCs w:val="24"/>
    </w:rPr>
  </w:style>
  <w:style w:type="paragraph" w:customStyle="1" w:styleId="subpart">
    <w:name w:val="subpart"/>
    <w:basedOn w:val="Normal"/>
    <w:rsid w:val="00EB7550"/>
    <w:pPr>
      <w:shd w:val="clear" w:color="auto" w:fill="FFFFFF"/>
      <w:spacing w:before="100" w:beforeAutospacing="1" w:after="100" w:afterAutospacing="1"/>
    </w:pPr>
    <w:rPr>
      <w:color w:val="0000FF"/>
      <w:szCs w:val="22"/>
    </w:rPr>
  </w:style>
  <w:style w:type="paragraph" w:customStyle="1" w:styleId="nopart">
    <w:name w:val="nopart"/>
    <w:basedOn w:val="Normal"/>
    <w:rsid w:val="00EB7550"/>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EB7550"/>
    <w:pPr>
      <w:shd w:val="clear" w:color="auto" w:fill="FFFFFF"/>
      <w:spacing w:before="100" w:beforeAutospacing="1" w:after="100" w:afterAutospacing="1"/>
    </w:pPr>
    <w:rPr>
      <w:color w:val="FF0000"/>
      <w:sz w:val="24"/>
      <w:szCs w:val="24"/>
    </w:rPr>
  </w:style>
  <w:style w:type="paragraph" w:customStyle="1" w:styleId="menu">
    <w:name w:val="menu"/>
    <w:basedOn w:val="Normal"/>
    <w:rsid w:val="00EB7550"/>
    <w:pPr>
      <w:spacing w:before="100" w:beforeAutospacing="1" w:after="100" w:afterAutospacing="1"/>
    </w:pPr>
    <w:rPr>
      <w:rFonts w:ascii="Arial" w:hAnsi="Arial" w:cs="Arial"/>
      <w:sz w:val="18"/>
      <w:szCs w:val="18"/>
    </w:rPr>
  </w:style>
  <w:style w:type="paragraph" w:customStyle="1" w:styleId="hilite">
    <w:name w:val="hilite"/>
    <w:basedOn w:val="Normal"/>
    <w:rsid w:val="00EB7550"/>
    <w:pPr>
      <w:spacing w:before="100" w:beforeAutospacing="1" w:after="100" w:afterAutospacing="1"/>
    </w:pPr>
    <w:rPr>
      <w:b/>
      <w:bCs/>
      <w:color w:val="CC0000"/>
      <w:sz w:val="24"/>
      <w:szCs w:val="24"/>
    </w:rPr>
  </w:style>
  <w:style w:type="paragraph" w:customStyle="1" w:styleId="white">
    <w:name w:val="white"/>
    <w:basedOn w:val="Normal"/>
    <w:rsid w:val="00EB7550"/>
    <w:rPr>
      <w:color w:val="FFFFFF"/>
      <w:sz w:val="24"/>
      <w:szCs w:val="24"/>
    </w:rPr>
  </w:style>
  <w:style w:type="paragraph" w:customStyle="1" w:styleId="hang">
    <w:name w:val="hang"/>
    <w:basedOn w:val="Normal"/>
    <w:rsid w:val="00EB7550"/>
    <w:pPr>
      <w:spacing w:before="100" w:beforeAutospacing="1" w:after="100" w:afterAutospacing="1"/>
      <w:ind w:hanging="480"/>
    </w:pPr>
    <w:rPr>
      <w:sz w:val="24"/>
      <w:szCs w:val="24"/>
    </w:rPr>
  </w:style>
  <w:style w:type="paragraph" w:customStyle="1" w:styleId="tablediv">
    <w:name w:val="table_div"/>
    <w:basedOn w:val="Normal"/>
    <w:rsid w:val="00EB7550"/>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tabledescription">
    <w:name w:val="table_description"/>
    <w:basedOn w:val="Normal"/>
    <w:rsid w:val="00EB7550"/>
    <w:pPr>
      <w:spacing w:before="100" w:beforeAutospacing="1" w:after="100" w:afterAutospacing="1"/>
      <w:jc w:val="center"/>
    </w:pPr>
    <w:rPr>
      <w:sz w:val="24"/>
      <w:szCs w:val="24"/>
    </w:rPr>
  </w:style>
  <w:style w:type="paragraph" w:customStyle="1" w:styleId="tablecell">
    <w:name w:val="table_cell"/>
    <w:basedOn w:val="Normal"/>
    <w:rsid w:val="00EB755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tablecolhed">
    <w:name w:val="table_colhed"/>
    <w:basedOn w:val="Normal"/>
    <w:rsid w:val="00EB755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Footer2">
    <w:name w:val="Footer2"/>
    <w:basedOn w:val="Normal"/>
    <w:rsid w:val="00EB7550"/>
    <w:pPr>
      <w:spacing w:before="100" w:beforeAutospacing="1" w:after="100" w:afterAutospacing="1"/>
      <w:jc w:val="center"/>
    </w:pPr>
    <w:rPr>
      <w:rFonts w:ascii="Arial" w:hAnsi="Arial" w:cs="Arial"/>
      <w:sz w:val="15"/>
      <w:szCs w:val="15"/>
    </w:rPr>
  </w:style>
  <w:style w:type="paragraph" w:customStyle="1" w:styleId="gpotbltitle">
    <w:name w:val="gpotbl_title"/>
    <w:basedOn w:val="Normal"/>
    <w:rsid w:val="00EB7550"/>
    <w:pPr>
      <w:spacing w:before="100" w:beforeAutospacing="1" w:after="100" w:afterAutospacing="1"/>
      <w:jc w:val="center"/>
    </w:pPr>
    <w:rPr>
      <w:b/>
      <w:bCs/>
      <w:sz w:val="24"/>
      <w:szCs w:val="24"/>
    </w:rPr>
  </w:style>
  <w:style w:type="paragraph" w:customStyle="1" w:styleId="gpotblnote">
    <w:name w:val="gpotbl_note"/>
    <w:basedOn w:val="Normal"/>
    <w:rsid w:val="00EB7550"/>
    <w:pPr>
      <w:spacing w:before="100" w:beforeAutospacing="1" w:after="100" w:afterAutospacing="1"/>
    </w:pPr>
    <w:rPr>
      <w:sz w:val="24"/>
      <w:szCs w:val="24"/>
    </w:rPr>
  </w:style>
  <w:style w:type="paragraph" w:customStyle="1" w:styleId="Caption2">
    <w:name w:val="Caption2"/>
    <w:basedOn w:val="Normal"/>
    <w:rsid w:val="00EB7550"/>
    <w:pPr>
      <w:spacing w:before="100" w:beforeAutospacing="1"/>
    </w:pPr>
    <w:rPr>
      <w:rFonts w:ascii="Arial" w:hAnsi="Arial" w:cs="Arial"/>
      <w:b/>
      <w:bCs/>
      <w:sz w:val="26"/>
      <w:szCs w:val="26"/>
    </w:rPr>
  </w:style>
  <w:style w:type="paragraph" w:customStyle="1" w:styleId="Footer3">
    <w:name w:val="Footer3"/>
    <w:basedOn w:val="Normal"/>
    <w:rsid w:val="00EB7550"/>
    <w:pPr>
      <w:spacing w:before="100" w:beforeAutospacing="1" w:after="100" w:afterAutospacing="1"/>
      <w:jc w:val="center"/>
    </w:pPr>
    <w:rPr>
      <w:rFonts w:ascii="Arial" w:hAnsi="Arial" w:cs="Arial"/>
      <w:szCs w:val="22"/>
    </w:rPr>
  </w:style>
  <w:style w:type="paragraph" w:customStyle="1" w:styleId="gpotblhang">
    <w:name w:val="gpotbl_hang"/>
    <w:basedOn w:val="Normal"/>
    <w:rsid w:val="00EB7550"/>
    <w:pPr>
      <w:spacing w:before="100" w:beforeAutospacing="1" w:after="100" w:afterAutospacing="1"/>
      <w:ind w:hanging="480"/>
    </w:pPr>
    <w:rPr>
      <w:sz w:val="24"/>
      <w:szCs w:val="24"/>
    </w:rPr>
  </w:style>
  <w:style w:type="paragraph" w:customStyle="1" w:styleId="gpotbltable">
    <w:name w:val="gpotbl_table"/>
    <w:basedOn w:val="Normal"/>
    <w:rsid w:val="00EB7550"/>
    <w:pPr>
      <w:spacing w:before="100" w:beforeAutospacing="1" w:after="100" w:afterAutospacing="1"/>
    </w:pPr>
    <w:rPr>
      <w:sz w:val="24"/>
      <w:szCs w:val="24"/>
    </w:rPr>
  </w:style>
  <w:style w:type="paragraph" w:customStyle="1" w:styleId="gpotbldiv">
    <w:name w:val="gpotbl_div"/>
    <w:basedOn w:val="Normal"/>
    <w:rsid w:val="00EB7550"/>
    <w:pPr>
      <w:pBdr>
        <w:top w:val="single" w:sz="18" w:space="0" w:color="000000"/>
        <w:left w:val="single" w:sz="18" w:space="0" w:color="000000"/>
        <w:bottom w:val="single" w:sz="18" w:space="0" w:color="000000"/>
        <w:right w:val="single" w:sz="18" w:space="0" w:color="000000"/>
      </w:pBdr>
      <w:spacing w:before="100" w:beforeAutospacing="1" w:after="100" w:afterAutospacing="1"/>
    </w:pPr>
    <w:rPr>
      <w:sz w:val="24"/>
      <w:szCs w:val="24"/>
    </w:rPr>
  </w:style>
  <w:style w:type="paragraph" w:customStyle="1" w:styleId="gpotbldescription">
    <w:name w:val="gpotbl_description"/>
    <w:basedOn w:val="Normal"/>
    <w:rsid w:val="00EB7550"/>
    <w:pPr>
      <w:spacing w:before="100" w:beforeAutospacing="1" w:after="100" w:afterAutospacing="1"/>
      <w:jc w:val="center"/>
    </w:pPr>
    <w:rPr>
      <w:sz w:val="24"/>
      <w:szCs w:val="24"/>
    </w:rPr>
  </w:style>
  <w:style w:type="paragraph" w:customStyle="1" w:styleId="gpotblcell">
    <w:name w:val="gpotbl_cell"/>
    <w:basedOn w:val="Normal"/>
    <w:rsid w:val="00EB7550"/>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top"/>
    </w:pPr>
    <w:rPr>
      <w:sz w:val="24"/>
      <w:szCs w:val="24"/>
    </w:rPr>
  </w:style>
  <w:style w:type="paragraph" w:customStyle="1" w:styleId="gpotblcolhed">
    <w:name w:val="gpotbl_colhed"/>
    <w:basedOn w:val="Normal"/>
    <w:rsid w:val="00EB7550"/>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bottom"/>
    </w:pPr>
    <w:rPr>
      <w:sz w:val="24"/>
      <w:szCs w:val="24"/>
    </w:rPr>
  </w:style>
  <w:style w:type="paragraph" w:styleId="BodyText2">
    <w:name w:val="Body Text 2"/>
    <w:basedOn w:val="Normal"/>
    <w:link w:val="BodyText2Char"/>
    <w:rsid w:val="00FE64BB"/>
    <w:pPr>
      <w:spacing w:after="120" w:line="480" w:lineRule="auto"/>
    </w:pPr>
  </w:style>
  <w:style w:type="character" w:customStyle="1" w:styleId="BodyText2Char">
    <w:name w:val="Body Text 2 Char"/>
    <w:link w:val="BodyText2"/>
    <w:rsid w:val="00FE64B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image" Target="media/image5.png"/><Relationship Id="rId21" Type="http://schemas.openxmlformats.org/officeDocument/2006/relationships/header" Target="header10.xml"/><Relationship Id="rId34" Type="http://schemas.openxmlformats.org/officeDocument/2006/relationships/header" Target="header16.xml"/><Relationship Id="rId42" Type="http://schemas.openxmlformats.org/officeDocument/2006/relationships/footer" Target="footer7.xml"/><Relationship Id="rId47" Type="http://schemas.openxmlformats.org/officeDocument/2006/relationships/hyperlink" Target="http://www.access.gpo.gov/ecfr/graphics/pdfs/ec01my92.001.pdf" TargetMode="External"/><Relationship Id="rId50" Type="http://schemas.openxmlformats.org/officeDocument/2006/relationships/image" Target="media/image9.png"/><Relationship Id="rId55" Type="http://schemas.openxmlformats.org/officeDocument/2006/relationships/hyperlink" Target="http://www.access.gpo.gov/ecfr/graphics/pdfs/ec01my92.005.pdf" TargetMode="External"/><Relationship Id="rId63" Type="http://schemas.openxmlformats.org/officeDocument/2006/relationships/image" Target="media/image14.png"/><Relationship Id="rId68" Type="http://schemas.openxmlformats.org/officeDocument/2006/relationships/header" Target="header28.xml"/><Relationship Id="rId76" Type="http://schemas.openxmlformats.org/officeDocument/2006/relationships/header" Target="header34.xm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30.xml"/><Relationship Id="rId2" Type="http://schemas.openxmlformats.org/officeDocument/2006/relationships/numbering" Target="numbering.xml"/><Relationship Id="rId16" Type="http://schemas.openxmlformats.org/officeDocument/2006/relationships/hyperlink" Target="http://www.dep.state.fl.us/air/rules/forms.htm" TargetMode="External"/><Relationship Id="rId29" Type="http://schemas.openxmlformats.org/officeDocument/2006/relationships/hyperlink" Target="http://ecfr.gpoaccess.gov/cgi/t/text/text-idx?c=ecfr;rgn=div5;view=text;node=40%3A6.0.1.1.1;idno=40;sid=a85d27c58771441345bab3999a7f9840;cc=ecfr" TargetMode="Externa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2.png"/><Relationship Id="rId37" Type="http://schemas.openxmlformats.org/officeDocument/2006/relationships/header" Target="header18.xml"/><Relationship Id="rId40" Type="http://schemas.openxmlformats.org/officeDocument/2006/relationships/header" Target="header19.xml"/><Relationship Id="rId45" Type="http://schemas.openxmlformats.org/officeDocument/2006/relationships/hyperlink" Target="http://www.access.gpo.gov/ecfr/graphics/pdfs/ec01my92.000.pdf" TargetMode="External"/><Relationship Id="rId53" Type="http://schemas.openxmlformats.org/officeDocument/2006/relationships/hyperlink" Target="http://www.access.gpo.gov/ecfr/graphics/pdfs/ec01my92.004.pdf" TargetMode="External"/><Relationship Id="rId58" Type="http://schemas.openxmlformats.org/officeDocument/2006/relationships/header" Target="header22.xml"/><Relationship Id="rId66" Type="http://schemas.openxmlformats.org/officeDocument/2006/relationships/footer" Target="footer9.xml"/><Relationship Id="rId74" Type="http://schemas.openxmlformats.org/officeDocument/2006/relationships/footer" Target="footer11.xml"/><Relationship Id="rId79"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4.xml"/><Relationship Id="rId82" Type="http://schemas.openxmlformats.org/officeDocument/2006/relationships/footer" Target="footer1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yperlink" Target="http://ecfr.gpoaccess.gov/cgi/t/text/text-idx?c=ecfr;rgn=div2;view=text;node=20100909%3A1.7;idno=40;sid=a85d27c58771441345bab3999a7f9840;cc=ecfr;start=1;size=25" TargetMode="External"/><Relationship Id="rId35" Type="http://schemas.openxmlformats.org/officeDocument/2006/relationships/header" Target="header17.xml"/><Relationship Id="rId43" Type="http://schemas.openxmlformats.org/officeDocument/2006/relationships/header" Target="header21.xml"/><Relationship Id="rId48" Type="http://schemas.openxmlformats.org/officeDocument/2006/relationships/image" Target="media/image8.png"/><Relationship Id="rId56" Type="http://schemas.openxmlformats.org/officeDocument/2006/relationships/image" Target="media/image12.png"/><Relationship Id="rId64" Type="http://schemas.openxmlformats.org/officeDocument/2006/relationships/header" Target="header25.xml"/><Relationship Id="rId69" Type="http://schemas.openxmlformats.org/officeDocument/2006/relationships/header" Target="header29.xml"/><Relationship Id="rId77" Type="http://schemas.openxmlformats.org/officeDocument/2006/relationships/header" Target="header35.xml"/><Relationship Id="rId8" Type="http://schemas.openxmlformats.org/officeDocument/2006/relationships/header" Target="header1.xml"/><Relationship Id="rId51" Type="http://schemas.openxmlformats.org/officeDocument/2006/relationships/hyperlink" Target="http://www.access.gpo.gov/ecfr/graphics/pdfs/ec01my92.003.pdf" TargetMode="External"/><Relationship Id="rId72" Type="http://schemas.openxmlformats.org/officeDocument/2006/relationships/header" Target="header31.xml"/><Relationship Id="rId80" Type="http://schemas.openxmlformats.org/officeDocument/2006/relationships/header" Target="header37.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image" Target="media/image3.png"/><Relationship Id="rId38" Type="http://schemas.openxmlformats.org/officeDocument/2006/relationships/image" Target="media/image4.png"/><Relationship Id="rId46" Type="http://schemas.openxmlformats.org/officeDocument/2006/relationships/image" Target="media/image7.png"/><Relationship Id="rId59" Type="http://schemas.openxmlformats.org/officeDocument/2006/relationships/header" Target="header23.xml"/><Relationship Id="rId67" Type="http://schemas.openxmlformats.org/officeDocument/2006/relationships/header" Target="header27.xml"/><Relationship Id="rId20" Type="http://schemas.openxmlformats.org/officeDocument/2006/relationships/header" Target="header9.xml"/><Relationship Id="rId41" Type="http://schemas.openxmlformats.org/officeDocument/2006/relationships/header" Target="header20.xml"/><Relationship Id="rId54" Type="http://schemas.openxmlformats.org/officeDocument/2006/relationships/image" Target="media/image11.png"/><Relationship Id="rId62" Type="http://schemas.openxmlformats.org/officeDocument/2006/relationships/image" Target="media/image13.png"/><Relationship Id="rId70" Type="http://schemas.openxmlformats.org/officeDocument/2006/relationships/footer" Target="footer10.xml"/><Relationship Id="rId75" Type="http://schemas.openxmlformats.org/officeDocument/2006/relationships/header" Target="header33.xml"/><Relationship Id="rId83"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footer" Target="footer6.xml"/><Relationship Id="rId49" Type="http://schemas.openxmlformats.org/officeDocument/2006/relationships/hyperlink" Target="http://www.access.gpo.gov/ecfr/graphics/pdfs/ec01my92.002.pdf" TargetMode="External"/><Relationship Id="rId57" Type="http://schemas.openxmlformats.org/officeDocument/2006/relationships/hyperlink" Target="http://www.access.gpo.gov/ecfr/graphics/pdfs/ec01my92.006.pdf" TargetMode="External"/><Relationship Id="rId10" Type="http://schemas.openxmlformats.org/officeDocument/2006/relationships/footer" Target="footer1.xml"/><Relationship Id="rId31" Type="http://schemas.openxmlformats.org/officeDocument/2006/relationships/image" Target="media/image1.png"/><Relationship Id="rId44" Type="http://schemas.openxmlformats.org/officeDocument/2006/relationships/image" Target="media/image6.png"/><Relationship Id="rId52" Type="http://schemas.openxmlformats.org/officeDocument/2006/relationships/image" Target="media/image10.png"/><Relationship Id="rId60" Type="http://schemas.openxmlformats.org/officeDocument/2006/relationships/footer" Target="footer8.xml"/><Relationship Id="rId65" Type="http://schemas.openxmlformats.org/officeDocument/2006/relationships/header" Target="header26.xml"/><Relationship Id="rId73" Type="http://schemas.openxmlformats.org/officeDocument/2006/relationships/header" Target="header32.xml"/><Relationship Id="rId78" Type="http://schemas.openxmlformats.org/officeDocument/2006/relationships/footer" Target="footer12.xml"/><Relationship Id="rId81" Type="http://schemas.openxmlformats.org/officeDocument/2006/relationships/header" Target="header3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7C976-8E3B-4F03-885E-F05CE7B1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191</Pages>
  <Words>105024</Words>
  <Characters>598642</Characters>
  <Application>Microsoft Office Word</Application>
  <DocSecurity>0</DocSecurity>
  <Lines>4988</Lines>
  <Paragraphs>1404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702262</CharactersWithSpaces>
  <SharedDoc>false</SharedDoc>
  <HLinks>
    <vt:vector size="60" baseType="variant">
      <vt:variant>
        <vt:i4>1769566</vt:i4>
      </vt:variant>
      <vt:variant>
        <vt:i4>63</vt:i4>
      </vt:variant>
      <vt:variant>
        <vt:i4>0</vt:i4>
      </vt:variant>
      <vt:variant>
        <vt:i4>5</vt:i4>
      </vt:variant>
      <vt:variant>
        <vt:lpwstr>http://www.access.gpo.gov/ecfr/graphics/pdfs/ec01my92.006.pdf</vt:lpwstr>
      </vt:variant>
      <vt:variant>
        <vt:lpwstr/>
      </vt:variant>
      <vt:variant>
        <vt:i4>1769565</vt:i4>
      </vt:variant>
      <vt:variant>
        <vt:i4>57</vt:i4>
      </vt:variant>
      <vt:variant>
        <vt:i4>0</vt:i4>
      </vt:variant>
      <vt:variant>
        <vt:i4>5</vt:i4>
      </vt:variant>
      <vt:variant>
        <vt:lpwstr>http://www.access.gpo.gov/ecfr/graphics/pdfs/ec01my92.005.pdf</vt:lpwstr>
      </vt:variant>
      <vt:variant>
        <vt:lpwstr/>
      </vt:variant>
      <vt:variant>
        <vt:i4>1769564</vt:i4>
      </vt:variant>
      <vt:variant>
        <vt:i4>51</vt:i4>
      </vt:variant>
      <vt:variant>
        <vt:i4>0</vt:i4>
      </vt:variant>
      <vt:variant>
        <vt:i4>5</vt:i4>
      </vt:variant>
      <vt:variant>
        <vt:lpwstr>http://www.access.gpo.gov/ecfr/graphics/pdfs/ec01my92.004.pdf</vt:lpwstr>
      </vt:variant>
      <vt:variant>
        <vt:lpwstr/>
      </vt:variant>
      <vt:variant>
        <vt:i4>1769563</vt:i4>
      </vt:variant>
      <vt:variant>
        <vt:i4>45</vt:i4>
      </vt:variant>
      <vt:variant>
        <vt:i4>0</vt:i4>
      </vt:variant>
      <vt:variant>
        <vt:i4>5</vt:i4>
      </vt:variant>
      <vt:variant>
        <vt:lpwstr>http://www.access.gpo.gov/ecfr/graphics/pdfs/ec01my92.003.pdf</vt:lpwstr>
      </vt:variant>
      <vt:variant>
        <vt:lpwstr/>
      </vt:variant>
      <vt:variant>
        <vt:i4>1769562</vt:i4>
      </vt:variant>
      <vt:variant>
        <vt:i4>39</vt:i4>
      </vt:variant>
      <vt:variant>
        <vt:i4>0</vt:i4>
      </vt:variant>
      <vt:variant>
        <vt:i4>5</vt:i4>
      </vt:variant>
      <vt:variant>
        <vt:lpwstr>http://www.access.gpo.gov/ecfr/graphics/pdfs/ec01my92.002.pdf</vt:lpwstr>
      </vt:variant>
      <vt:variant>
        <vt:lpwstr/>
      </vt:variant>
      <vt:variant>
        <vt:i4>1769561</vt:i4>
      </vt:variant>
      <vt:variant>
        <vt:i4>33</vt:i4>
      </vt:variant>
      <vt:variant>
        <vt:i4>0</vt:i4>
      </vt:variant>
      <vt:variant>
        <vt:i4>5</vt:i4>
      </vt:variant>
      <vt:variant>
        <vt:lpwstr>http://www.access.gpo.gov/ecfr/graphics/pdfs/ec01my92.001.pdf</vt:lpwstr>
      </vt:variant>
      <vt:variant>
        <vt:lpwstr/>
      </vt:variant>
      <vt:variant>
        <vt:i4>1769560</vt:i4>
      </vt:variant>
      <vt:variant>
        <vt:i4>27</vt:i4>
      </vt:variant>
      <vt:variant>
        <vt:i4>0</vt:i4>
      </vt:variant>
      <vt:variant>
        <vt:i4>5</vt:i4>
      </vt:variant>
      <vt:variant>
        <vt:lpwstr>http://www.access.gpo.gov/ecfr/graphics/pdfs/ec01my92.000.pdf</vt:lpwstr>
      </vt:variant>
      <vt:variant>
        <vt:lpwstr/>
      </vt:variant>
      <vt:variant>
        <vt:i4>4849676</vt:i4>
      </vt:variant>
      <vt:variant>
        <vt:i4>6</vt:i4>
      </vt:variant>
      <vt:variant>
        <vt:i4>0</vt:i4>
      </vt:variant>
      <vt:variant>
        <vt:i4>5</vt:i4>
      </vt:variant>
      <vt:variant>
        <vt:lpwstr>http://ecfr.gpoaccess.gov/cgi/t/text/text-idx?c=ecfr;rgn=div2;view=text;node=20100909%3A1.7;idno=40;sid=a85d27c58771441345bab3999a7f9840;cc=ecfr;start=1;size=25</vt:lpwstr>
      </vt:variant>
      <vt:variant>
        <vt:lpwstr/>
      </vt:variant>
      <vt:variant>
        <vt:i4>327695</vt:i4>
      </vt:variant>
      <vt:variant>
        <vt:i4>3</vt:i4>
      </vt:variant>
      <vt:variant>
        <vt:i4>0</vt:i4>
      </vt:variant>
      <vt:variant>
        <vt:i4>5</vt:i4>
      </vt:variant>
      <vt:variant>
        <vt:lpwstr>http://ecfr.gpoaccess.gov/cgi/t/text/text-idx?c=ecfr;rgn=div5;view=text;node=40%3A6.0.1.1.1;idno=40;sid=a85d27c58771441345bab3999a7f9840;cc=ecfr</vt:lpwstr>
      </vt:variant>
      <vt:variant>
        <vt:lpwstr/>
      </vt: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Read, David</cp:lastModifiedBy>
  <cp:revision>3</cp:revision>
  <cp:lastPrinted>2011-11-02T14:45:00Z</cp:lastPrinted>
  <dcterms:created xsi:type="dcterms:W3CDTF">2014-08-19T12:50:00Z</dcterms:created>
  <dcterms:modified xsi:type="dcterms:W3CDTF">2014-08-19T13:04:00Z</dcterms:modified>
</cp:coreProperties>
</file>